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2EB8" w14:textId="77777777" w:rsidR="005E149E" w:rsidRPr="004B5CD9" w:rsidRDefault="005E149E" w:rsidP="004B5CD9">
      <w:pPr>
        <w:spacing w:after="0" w:line="240" w:lineRule="auto"/>
        <w:rPr>
          <w:rFonts w:ascii="Arial" w:eastAsia="Times New Roman" w:hAnsi="Arial" w:cs="Arial"/>
          <w:b/>
          <w:bCs/>
          <w:u w:val="single"/>
        </w:rPr>
      </w:pPr>
      <w:r w:rsidRPr="004B5CD9">
        <w:rPr>
          <w:rFonts w:ascii="Arial" w:hAnsi="Arial" w:cs="Arial"/>
          <w:b/>
          <w:u w:val="single"/>
        </w:rPr>
        <w:t xml:space="preserve">Learning from Deaths - </w:t>
      </w:r>
      <w:r w:rsidRPr="004B5CD9">
        <w:rPr>
          <w:rFonts w:ascii="Arial" w:eastAsia="Times New Roman" w:hAnsi="Arial" w:cs="Arial"/>
          <w:b/>
          <w:bCs/>
          <w:u w:val="single"/>
        </w:rPr>
        <w:t>Mortality Report</w:t>
      </w:r>
    </w:p>
    <w:p w14:paraId="56C0315E" w14:textId="77777777" w:rsidR="005E149E" w:rsidRPr="004B5CD9" w:rsidRDefault="005E149E" w:rsidP="004B5CD9">
      <w:pPr>
        <w:spacing w:after="0" w:line="240" w:lineRule="auto"/>
        <w:rPr>
          <w:rFonts w:ascii="Arial" w:eastAsia="Times New Roman" w:hAnsi="Arial" w:cs="Arial"/>
        </w:rPr>
      </w:pPr>
    </w:p>
    <w:p w14:paraId="05C7EDB8" w14:textId="77777777" w:rsidR="005E149E" w:rsidRPr="004B5CD9" w:rsidRDefault="005E149E" w:rsidP="000261E4">
      <w:pPr>
        <w:pStyle w:val="ListParagraph"/>
        <w:keepNext/>
        <w:numPr>
          <w:ilvl w:val="0"/>
          <w:numId w:val="4"/>
        </w:numPr>
        <w:spacing w:after="0" w:line="240" w:lineRule="auto"/>
        <w:ind w:left="454" w:hanging="454"/>
        <w:outlineLvl w:val="1"/>
        <w:rPr>
          <w:rFonts w:ascii="Arial" w:eastAsia="Times New Roman" w:hAnsi="Arial" w:cs="Arial"/>
          <w:b/>
          <w:bCs/>
        </w:rPr>
      </w:pPr>
      <w:r w:rsidRPr="004B5CD9">
        <w:rPr>
          <w:rFonts w:ascii="Arial" w:eastAsia="Times New Roman" w:hAnsi="Arial" w:cs="Arial"/>
          <w:b/>
          <w:bCs/>
        </w:rPr>
        <w:t>Background</w:t>
      </w:r>
    </w:p>
    <w:p w14:paraId="61F772A6" w14:textId="77777777" w:rsidR="005E149E" w:rsidRPr="004B5CD9" w:rsidRDefault="005E149E" w:rsidP="004B5CD9">
      <w:pPr>
        <w:keepNext/>
        <w:spacing w:after="0" w:line="240" w:lineRule="auto"/>
        <w:outlineLvl w:val="1"/>
        <w:rPr>
          <w:rFonts w:ascii="Arial" w:eastAsia="Times New Roman" w:hAnsi="Arial" w:cs="Arial"/>
        </w:rPr>
      </w:pPr>
    </w:p>
    <w:p w14:paraId="3DF8FC97" w14:textId="6A622853" w:rsidR="005E149E" w:rsidRPr="004B5CD9" w:rsidRDefault="005E149E" w:rsidP="004B5CD9">
      <w:pPr>
        <w:spacing w:after="0" w:line="240" w:lineRule="auto"/>
        <w:ind w:right="-46"/>
        <w:rPr>
          <w:rFonts w:ascii="Arial" w:eastAsia="Times New Roman" w:hAnsi="Arial" w:cs="Arial"/>
          <w:lang w:eastAsia="en-GB"/>
        </w:rPr>
      </w:pPr>
      <w:r w:rsidRPr="004B5CD9">
        <w:rPr>
          <w:rFonts w:ascii="Arial" w:hAnsi="Arial" w:cs="Arial"/>
        </w:rPr>
        <w:t xml:space="preserve">In line with the </w:t>
      </w:r>
      <w:r w:rsidR="00A120A8" w:rsidRPr="004B5CD9">
        <w:rPr>
          <w:rFonts w:ascii="Arial" w:hAnsi="Arial" w:cs="Arial"/>
        </w:rPr>
        <w:t>Care Quality Commission’s (</w:t>
      </w:r>
      <w:r w:rsidRPr="004B5CD9">
        <w:rPr>
          <w:rFonts w:ascii="Arial" w:hAnsi="Arial" w:cs="Arial"/>
        </w:rPr>
        <w:t>CQC</w:t>
      </w:r>
      <w:r w:rsidR="00A120A8" w:rsidRPr="004B5CD9">
        <w:rPr>
          <w:rFonts w:ascii="Arial" w:hAnsi="Arial" w:cs="Arial"/>
        </w:rPr>
        <w:t>)</w:t>
      </w:r>
      <w:r w:rsidRPr="004B5CD9">
        <w:rPr>
          <w:rFonts w:ascii="Arial" w:hAnsi="Arial" w:cs="Arial"/>
        </w:rPr>
        <w:t xml:space="preserve"> recommendations in its review of how the NHS investigates patient deaths, the National Quality Board published a framework for NHS Trusts</w:t>
      </w:r>
      <w:r w:rsidR="001B6FBA" w:rsidRPr="004B5CD9">
        <w:rPr>
          <w:rFonts w:ascii="Arial" w:hAnsi="Arial" w:cs="Arial"/>
        </w:rPr>
        <w:t xml:space="preserve"> </w:t>
      </w:r>
      <w:r w:rsidRPr="004B5CD9">
        <w:rPr>
          <w:rFonts w:ascii="Arial" w:hAnsi="Arial" w:cs="Arial"/>
        </w:rPr>
        <w:t>- 'National Guidance on Learning from Deaths</w:t>
      </w:r>
      <w:r w:rsidR="001B6FBA" w:rsidRPr="004B5CD9">
        <w:rPr>
          <w:rFonts w:ascii="Arial" w:hAnsi="Arial" w:cs="Arial"/>
        </w:rPr>
        <w:t>’</w:t>
      </w:r>
      <w:r w:rsidRPr="004B5CD9">
        <w:rPr>
          <w:rFonts w:ascii="Arial" w:hAnsi="Arial" w:cs="Arial"/>
        </w:rPr>
        <w:t xml:space="preserve">. The purpose of the framework is to introduce a more standardised approach to the way NHS </w:t>
      </w:r>
      <w:r w:rsidR="00A120A8" w:rsidRPr="004B5CD9">
        <w:rPr>
          <w:rFonts w:ascii="Arial" w:hAnsi="Arial" w:cs="Arial"/>
        </w:rPr>
        <w:t>t</w:t>
      </w:r>
      <w:r w:rsidRPr="004B5CD9">
        <w:rPr>
          <w:rFonts w:ascii="Arial" w:hAnsi="Arial" w:cs="Arial"/>
        </w:rPr>
        <w:t xml:space="preserve">rusts report, </w:t>
      </w:r>
      <w:r w:rsidR="007E073C" w:rsidRPr="004B5CD9">
        <w:rPr>
          <w:rFonts w:ascii="Arial" w:hAnsi="Arial" w:cs="Arial"/>
        </w:rPr>
        <w:t>investigate,</w:t>
      </w:r>
      <w:r w:rsidRPr="004B5CD9">
        <w:rPr>
          <w:rFonts w:ascii="Arial" w:hAnsi="Arial" w:cs="Arial"/>
        </w:rPr>
        <w:t xml:space="preserve"> and learn from patient deaths, which should lead to better quality investigations and improved embedded learning</w:t>
      </w:r>
      <w:r w:rsidRPr="004B5CD9">
        <w:rPr>
          <w:rFonts w:ascii="Arial" w:hAnsi="Arial" w:cs="Arial"/>
          <w:lang w:val="en" w:eastAsia="en-GB"/>
        </w:rPr>
        <w:t>.</w:t>
      </w:r>
      <w:r w:rsidR="003C166D" w:rsidRPr="004B5CD9">
        <w:rPr>
          <w:rFonts w:ascii="Arial" w:hAnsi="Arial" w:cs="Arial"/>
          <w:lang w:val="en" w:eastAsia="en-GB"/>
        </w:rPr>
        <w:t xml:space="preserve"> </w:t>
      </w:r>
      <w:r w:rsidRPr="004B5CD9">
        <w:rPr>
          <w:rFonts w:ascii="Arial" w:eastAsia="Times New Roman" w:hAnsi="Arial" w:cs="Arial"/>
          <w:lang w:eastAsia="en-GB"/>
        </w:rPr>
        <w:t>To date</w:t>
      </w:r>
      <w:r w:rsidR="00EF19A9" w:rsidRPr="004B5CD9">
        <w:rPr>
          <w:rFonts w:ascii="Arial" w:eastAsia="Times New Roman" w:hAnsi="Arial" w:cs="Arial"/>
          <w:lang w:eastAsia="en-GB"/>
        </w:rPr>
        <w:t>,</w:t>
      </w:r>
      <w:r w:rsidRPr="004B5CD9">
        <w:rPr>
          <w:rFonts w:ascii="Arial" w:eastAsia="Times New Roman" w:hAnsi="Arial" w:cs="Arial"/>
          <w:lang w:eastAsia="en-GB"/>
        </w:rPr>
        <w:t xml:space="preserve"> the Trust has met all of the required guidelines.</w:t>
      </w:r>
    </w:p>
    <w:p w14:paraId="13FF0BB8" w14:textId="77777777" w:rsidR="005E149E" w:rsidRPr="004B5CD9" w:rsidRDefault="005E149E" w:rsidP="004B5CD9">
      <w:pPr>
        <w:spacing w:after="0" w:line="240" w:lineRule="auto"/>
        <w:rPr>
          <w:rFonts w:ascii="Arial" w:eastAsia="Times New Roman" w:hAnsi="Arial" w:cs="Arial"/>
          <w:lang w:eastAsia="en-GB"/>
        </w:rPr>
      </w:pPr>
    </w:p>
    <w:p w14:paraId="3A7143AC" w14:textId="27B6CC82" w:rsidR="005E149E" w:rsidRPr="004B5CD9" w:rsidRDefault="005E149E" w:rsidP="004B5CD9">
      <w:pPr>
        <w:spacing w:after="0" w:line="240" w:lineRule="auto"/>
        <w:rPr>
          <w:rFonts w:ascii="Arial" w:hAnsi="Arial" w:cs="Arial"/>
        </w:rPr>
      </w:pPr>
      <w:r w:rsidRPr="004B5CD9">
        <w:rPr>
          <w:rFonts w:ascii="Arial" w:eastAsia="Times New Roman" w:hAnsi="Arial" w:cs="Arial"/>
          <w:lang w:eastAsia="en-GB"/>
        </w:rPr>
        <w:t xml:space="preserve">The report presents the data for </w:t>
      </w:r>
      <w:r w:rsidR="004F23E5" w:rsidRPr="004B5CD9">
        <w:rPr>
          <w:rFonts w:ascii="Arial" w:hAnsi="Arial" w:cs="Arial"/>
          <w:color w:val="000000" w:themeColor="text1"/>
        </w:rPr>
        <w:t xml:space="preserve">1 </w:t>
      </w:r>
      <w:r w:rsidR="00F42492" w:rsidRPr="004B5CD9">
        <w:rPr>
          <w:rFonts w:ascii="Arial" w:hAnsi="Arial" w:cs="Arial"/>
          <w:color w:val="000000" w:themeColor="text1"/>
        </w:rPr>
        <w:t>October</w:t>
      </w:r>
      <w:r w:rsidR="004F23E5" w:rsidRPr="004B5CD9">
        <w:rPr>
          <w:rFonts w:ascii="Arial" w:hAnsi="Arial" w:cs="Arial"/>
          <w:color w:val="000000" w:themeColor="text1"/>
        </w:rPr>
        <w:t xml:space="preserve"> to 3</w:t>
      </w:r>
      <w:r w:rsidR="00F42492" w:rsidRPr="004B5CD9">
        <w:rPr>
          <w:rFonts w:ascii="Arial" w:hAnsi="Arial" w:cs="Arial"/>
          <w:color w:val="000000" w:themeColor="text1"/>
        </w:rPr>
        <w:t>1</w:t>
      </w:r>
      <w:r w:rsidR="004F23E5" w:rsidRPr="004B5CD9">
        <w:rPr>
          <w:rFonts w:ascii="Arial" w:hAnsi="Arial" w:cs="Arial"/>
          <w:color w:val="000000" w:themeColor="text1"/>
        </w:rPr>
        <w:t xml:space="preserve"> </w:t>
      </w:r>
      <w:r w:rsidR="00F42492" w:rsidRPr="004B5CD9">
        <w:rPr>
          <w:rFonts w:ascii="Arial" w:hAnsi="Arial" w:cs="Arial"/>
          <w:color w:val="000000" w:themeColor="text1"/>
        </w:rPr>
        <w:t>December</w:t>
      </w:r>
      <w:r w:rsidR="004F23E5" w:rsidRPr="004B5CD9">
        <w:rPr>
          <w:rFonts w:ascii="Arial" w:hAnsi="Arial" w:cs="Arial"/>
          <w:color w:val="000000" w:themeColor="text1"/>
        </w:rPr>
        <w:t xml:space="preserve"> 2024</w:t>
      </w:r>
      <w:r w:rsidR="00B53665" w:rsidRPr="004B5CD9">
        <w:rPr>
          <w:rFonts w:ascii="Arial" w:hAnsi="Arial" w:cs="Arial"/>
        </w:rPr>
        <w:t>.</w:t>
      </w:r>
    </w:p>
    <w:p w14:paraId="263DEF4F" w14:textId="77777777" w:rsidR="00B53665" w:rsidRPr="004B5CD9" w:rsidRDefault="00B53665" w:rsidP="004B5CD9">
      <w:pPr>
        <w:spacing w:after="0" w:line="240" w:lineRule="auto"/>
        <w:rPr>
          <w:rFonts w:ascii="Arial" w:eastAsia="Times New Roman" w:hAnsi="Arial" w:cs="Arial"/>
          <w:lang w:eastAsia="en-GB"/>
        </w:rPr>
      </w:pPr>
    </w:p>
    <w:p w14:paraId="31126AAA" w14:textId="521F5E31" w:rsidR="005E149E" w:rsidRPr="004B5CD9" w:rsidRDefault="005E149E" w:rsidP="004B5CD9">
      <w:pPr>
        <w:keepNext/>
        <w:spacing w:after="0" w:line="240" w:lineRule="auto"/>
        <w:ind w:left="454" w:hanging="454"/>
        <w:outlineLvl w:val="1"/>
        <w:rPr>
          <w:rFonts w:ascii="Arial" w:eastAsia="Calibri" w:hAnsi="Arial" w:cs="Arial"/>
          <w:b/>
          <w:bCs/>
        </w:rPr>
      </w:pPr>
      <w:r w:rsidRPr="004B5CD9">
        <w:rPr>
          <w:rFonts w:ascii="Arial" w:eastAsia="Calibri" w:hAnsi="Arial" w:cs="Arial"/>
          <w:b/>
          <w:bCs/>
        </w:rPr>
        <w:t>2.</w:t>
      </w:r>
      <w:r w:rsidRPr="004B5CD9">
        <w:rPr>
          <w:rFonts w:ascii="Arial" w:eastAsia="Calibri" w:hAnsi="Arial" w:cs="Arial"/>
          <w:b/>
          <w:bCs/>
        </w:rPr>
        <w:tab/>
        <w:t xml:space="preserve">Current Position and Progress (including </w:t>
      </w:r>
      <w:r w:rsidR="00A120A8" w:rsidRPr="004B5CD9">
        <w:rPr>
          <w:rFonts w:ascii="Arial" w:eastAsia="Calibri" w:hAnsi="Arial" w:cs="Arial"/>
          <w:b/>
          <w:bCs/>
        </w:rPr>
        <w:t>COVID-19</w:t>
      </w:r>
      <w:r w:rsidRPr="004B5CD9">
        <w:rPr>
          <w:rFonts w:ascii="Arial" w:eastAsia="Calibri" w:hAnsi="Arial" w:cs="Arial"/>
          <w:b/>
          <w:bCs/>
        </w:rPr>
        <w:t xml:space="preserve"> related reviews)</w:t>
      </w:r>
    </w:p>
    <w:p w14:paraId="2A92C1BE" w14:textId="77777777" w:rsidR="005E149E" w:rsidRPr="004B5CD9" w:rsidRDefault="005E149E" w:rsidP="004B5CD9">
      <w:pPr>
        <w:keepNext/>
        <w:spacing w:after="0" w:line="240" w:lineRule="auto"/>
        <w:outlineLvl w:val="1"/>
        <w:rPr>
          <w:rFonts w:ascii="Arial" w:eastAsia="Calibri" w:hAnsi="Arial" w:cs="Arial"/>
        </w:rPr>
      </w:pPr>
    </w:p>
    <w:p w14:paraId="09F16AEC" w14:textId="657EBF44" w:rsidR="00132913" w:rsidRPr="004B5CD9" w:rsidRDefault="00132913" w:rsidP="000261E4">
      <w:pPr>
        <w:pStyle w:val="ListParagraph"/>
        <w:numPr>
          <w:ilvl w:val="0"/>
          <w:numId w:val="1"/>
        </w:numPr>
        <w:spacing w:after="0" w:line="240" w:lineRule="auto"/>
        <w:ind w:left="454" w:hanging="454"/>
        <w:rPr>
          <w:rFonts w:ascii="Arial" w:hAnsi="Arial" w:cs="Arial"/>
        </w:rPr>
      </w:pPr>
      <w:r w:rsidRPr="004B5CD9">
        <w:rPr>
          <w:rFonts w:ascii="Arial" w:hAnsi="Arial" w:cs="Arial"/>
        </w:rPr>
        <w:t xml:space="preserve">Cause of death information is currently being </w:t>
      </w:r>
      <w:r w:rsidR="00BE6BC0" w:rsidRPr="004B5CD9">
        <w:rPr>
          <w:rFonts w:ascii="Arial" w:hAnsi="Arial" w:cs="Arial"/>
        </w:rPr>
        <w:t>sought through</w:t>
      </w:r>
      <w:r w:rsidRPr="004B5CD9">
        <w:rPr>
          <w:rFonts w:ascii="Arial" w:hAnsi="Arial" w:cs="Arial"/>
        </w:rPr>
        <w:t xml:space="preserve"> the Coroner offices in Chesterfield and Derby but only a very small number of cause of deaths have been made available. </w:t>
      </w:r>
      <w:r w:rsidR="72647FC0" w:rsidRPr="004B5CD9">
        <w:rPr>
          <w:rFonts w:ascii="Arial" w:hAnsi="Arial" w:cs="Arial"/>
        </w:rPr>
        <w:t>T</w:t>
      </w:r>
      <w:r w:rsidR="204AE20D" w:rsidRPr="004B5CD9">
        <w:rPr>
          <w:rFonts w:ascii="Arial" w:hAnsi="Arial" w:cs="Arial"/>
        </w:rPr>
        <w:t>his</w:t>
      </w:r>
      <w:r w:rsidRPr="004B5CD9">
        <w:rPr>
          <w:rFonts w:ascii="Arial" w:hAnsi="Arial" w:cs="Arial"/>
        </w:rPr>
        <w:t xml:space="preserve"> will improve </w:t>
      </w:r>
      <w:r w:rsidR="0012662F" w:rsidRPr="004B5CD9">
        <w:rPr>
          <w:rFonts w:ascii="Arial" w:hAnsi="Arial" w:cs="Arial"/>
        </w:rPr>
        <w:t xml:space="preserve">now that the </w:t>
      </w:r>
      <w:r w:rsidRPr="004B5CD9">
        <w:rPr>
          <w:rFonts w:ascii="Arial" w:hAnsi="Arial" w:cs="Arial"/>
        </w:rPr>
        <w:t>Medical Examiners process of reviewing the Trust</w:t>
      </w:r>
      <w:r w:rsidR="00776802" w:rsidRPr="004B5CD9">
        <w:rPr>
          <w:rFonts w:ascii="Arial" w:hAnsi="Arial" w:cs="Arial"/>
        </w:rPr>
        <w:t>’</w:t>
      </w:r>
      <w:r w:rsidRPr="004B5CD9">
        <w:rPr>
          <w:rFonts w:ascii="Arial" w:hAnsi="Arial" w:cs="Arial"/>
        </w:rPr>
        <w:t>s non-coronial deaths</w:t>
      </w:r>
      <w:r w:rsidR="28B776DA" w:rsidRPr="004B5CD9">
        <w:rPr>
          <w:rFonts w:ascii="Arial" w:hAnsi="Arial" w:cs="Arial"/>
        </w:rPr>
        <w:t xml:space="preserve"> </w:t>
      </w:r>
      <w:r w:rsidR="0012662F" w:rsidRPr="004B5CD9">
        <w:rPr>
          <w:rFonts w:ascii="Arial" w:hAnsi="Arial" w:cs="Arial"/>
        </w:rPr>
        <w:t>is in place</w:t>
      </w:r>
      <w:r w:rsidR="00E95DC2" w:rsidRPr="004B5CD9">
        <w:rPr>
          <w:rFonts w:ascii="Arial" w:hAnsi="Arial" w:cs="Arial"/>
        </w:rPr>
        <w:t>. T</w:t>
      </w:r>
      <w:r w:rsidR="28B776DA" w:rsidRPr="004B5CD9">
        <w:rPr>
          <w:rFonts w:ascii="Arial" w:hAnsi="Arial" w:cs="Arial"/>
        </w:rPr>
        <w:t xml:space="preserve">he </w:t>
      </w:r>
      <w:r w:rsidR="0037213C" w:rsidRPr="004B5CD9">
        <w:rPr>
          <w:rFonts w:ascii="Arial" w:hAnsi="Arial" w:cs="Arial"/>
        </w:rPr>
        <w:t>T</w:t>
      </w:r>
      <w:r w:rsidR="28B776DA" w:rsidRPr="004B5CD9">
        <w:rPr>
          <w:rFonts w:ascii="Arial" w:hAnsi="Arial" w:cs="Arial"/>
        </w:rPr>
        <w:t>rust continues to meet with the Medical Examiners on a regular basis</w:t>
      </w:r>
      <w:r w:rsidR="00BA50F9" w:rsidRPr="004B5CD9">
        <w:rPr>
          <w:rFonts w:ascii="Arial" w:hAnsi="Arial" w:cs="Arial"/>
        </w:rPr>
        <w:t xml:space="preserve"> however feedback on cause of deaths has been minimal</w:t>
      </w:r>
      <w:r w:rsidR="004B5CD9">
        <w:rPr>
          <w:rFonts w:ascii="Arial" w:hAnsi="Arial" w:cs="Arial"/>
          <w:sz w:val="2"/>
        </w:rPr>
        <w:t>.</w:t>
      </w:r>
    </w:p>
    <w:p w14:paraId="572E3910" w14:textId="4A7C751C" w:rsidR="43904531" w:rsidRPr="004B5CD9" w:rsidRDefault="005E149E" w:rsidP="004B5CD9">
      <w:pPr>
        <w:pStyle w:val="ListParagraph"/>
        <w:numPr>
          <w:ilvl w:val="0"/>
          <w:numId w:val="1"/>
        </w:numPr>
        <w:shd w:val="clear" w:color="auto" w:fill="FFFFFF" w:themeFill="background1"/>
        <w:spacing w:after="0" w:line="240" w:lineRule="auto"/>
        <w:ind w:left="454" w:hanging="454"/>
        <w:rPr>
          <w:rFonts w:ascii="Arial" w:hAnsi="Arial" w:cs="Arial"/>
          <w:u w:val="single"/>
        </w:rPr>
      </w:pPr>
      <w:r w:rsidRPr="004B5CD9">
        <w:rPr>
          <w:rFonts w:ascii="Arial" w:hAnsi="Arial" w:cs="Arial"/>
        </w:rPr>
        <w:t>Regular audits continue to be undertaken to ensure compliance with policy and procedure and any necessary amendments made. This has included auditing complaint data against names of deceased patients to ensure this meets the requirements specified in the National guidance. The last audit was completed</w:t>
      </w:r>
      <w:r w:rsidR="001B6FBA" w:rsidRPr="004B5CD9">
        <w:rPr>
          <w:rFonts w:ascii="Arial" w:hAnsi="Arial" w:cs="Arial"/>
        </w:rPr>
        <w:t xml:space="preserve"> </w:t>
      </w:r>
      <w:r w:rsidR="00F42492" w:rsidRPr="004B5CD9">
        <w:rPr>
          <w:rFonts w:ascii="Arial" w:hAnsi="Arial" w:cs="Arial"/>
        </w:rPr>
        <w:t>21 January 2025</w:t>
      </w:r>
    </w:p>
    <w:p w14:paraId="7BF1233E" w14:textId="42D9B4D6" w:rsidR="7FA73E4D" w:rsidRPr="004B5CD9" w:rsidRDefault="7FA73E4D" w:rsidP="004B5CD9">
      <w:pPr>
        <w:pStyle w:val="ListParagraph"/>
        <w:numPr>
          <w:ilvl w:val="0"/>
          <w:numId w:val="1"/>
        </w:numPr>
        <w:shd w:val="clear" w:color="auto" w:fill="FFFFFF" w:themeFill="background1"/>
        <w:spacing w:after="0" w:line="240" w:lineRule="auto"/>
        <w:ind w:left="454" w:hanging="454"/>
        <w:rPr>
          <w:rFonts w:ascii="Arial" w:hAnsi="Arial" w:cs="Arial"/>
        </w:rPr>
      </w:pPr>
      <w:r w:rsidRPr="004B5CD9">
        <w:rPr>
          <w:rFonts w:ascii="Arial" w:hAnsi="Arial" w:cs="Arial"/>
        </w:rPr>
        <w:t>A process has been implemented within the patient Electronic Record which aids staff in identifying deaths which meet the threshold for DATIX reporting. This process fulfils stage one of the Learning from Deaths in that all deaths are considered for Red Flags as identified under the national Learning from Deaths procedure.</w:t>
      </w:r>
      <w:r w:rsidR="00776802" w:rsidRPr="004B5CD9">
        <w:rPr>
          <w:rFonts w:ascii="Arial" w:hAnsi="Arial" w:cs="Arial"/>
        </w:rPr>
        <w:t xml:space="preserve"> </w:t>
      </w:r>
      <w:r w:rsidRPr="004B5CD9">
        <w:rPr>
          <w:rFonts w:ascii="Arial" w:hAnsi="Arial" w:cs="Arial"/>
        </w:rPr>
        <w:t>This is a significant improvement in process and will release some capacity within the service to re-deploy into other priorities such as actions and high-profile incident management. The plan will also allow for more joined up working with Corporate and Legal services ensuring better sharing of information and identification of priorities for both services</w:t>
      </w:r>
      <w:r w:rsidR="004B5CD9">
        <w:rPr>
          <w:rFonts w:ascii="Arial" w:hAnsi="Arial" w:cs="Arial"/>
          <w:sz w:val="2"/>
        </w:rPr>
        <w:t>.</w:t>
      </w:r>
    </w:p>
    <w:p w14:paraId="32155CE3" w14:textId="34FB549A" w:rsidR="00DC4374" w:rsidRPr="004B5CD9" w:rsidRDefault="00DC4374" w:rsidP="004B5CD9">
      <w:pPr>
        <w:pStyle w:val="ListParagraph"/>
        <w:numPr>
          <w:ilvl w:val="0"/>
          <w:numId w:val="1"/>
        </w:numPr>
        <w:shd w:val="clear" w:color="auto" w:fill="FFFFFF" w:themeFill="background1"/>
        <w:spacing w:after="0" w:line="240" w:lineRule="auto"/>
        <w:ind w:left="454" w:hanging="454"/>
        <w:rPr>
          <w:rFonts w:ascii="Arial" w:hAnsi="Arial" w:cs="Arial"/>
        </w:rPr>
      </w:pPr>
      <w:r w:rsidRPr="004B5CD9">
        <w:rPr>
          <w:rFonts w:ascii="Arial" w:hAnsi="Arial" w:cs="Arial"/>
        </w:rPr>
        <w:t>The Mortality Case Record review panel process has been evaluated and plans are in place to re-design this to act as an assurance and audit panel over incidents closed through the Operational Incident Review group.</w:t>
      </w:r>
      <w:r w:rsidR="00BA50F9" w:rsidRPr="004B5CD9">
        <w:rPr>
          <w:rFonts w:ascii="Arial" w:hAnsi="Arial" w:cs="Arial"/>
        </w:rPr>
        <w:t xml:space="preserve"> This is currently on hold due to capacity within the Patient Safety </w:t>
      </w:r>
      <w:r w:rsidR="00250DD2" w:rsidRPr="004B5CD9">
        <w:rPr>
          <w:rFonts w:ascii="Arial" w:hAnsi="Arial" w:cs="Arial"/>
        </w:rPr>
        <w:t>t</w:t>
      </w:r>
      <w:r w:rsidR="00BA50F9" w:rsidRPr="004B5CD9">
        <w:rPr>
          <w:rFonts w:ascii="Arial" w:hAnsi="Arial" w:cs="Arial"/>
        </w:rPr>
        <w:t>eam</w:t>
      </w:r>
      <w:r w:rsidR="00E52A96">
        <w:rPr>
          <w:rFonts w:ascii="Arial" w:hAnsi="Arial" w:cs="Arial"/>
          <w:sz w:val="2"/>
        </w:rPr>
        <w:t>.</w:t>
      </w:r>
    </w:p>
    <w:p w14:paraId="2C530266" w14:textId="37CC3BD7" w:rsidR="00AA09FF" w:rsidRPr="004B5CD9" w:rsidRDefault="00AA09FF" w:rsidP="004B5CD9">
      <w:pPr>
        <w:pStyle w:val="ListParagraph"/>
        <w:numPr>
          <w:ilvl w:val="0"/>
          <w:numId w:val="1"/>
        </w:numPr>
        <w:shd w:val="clear" w:color="auto" w:fill="FFFFFF" w:themeFill="background1"/>
        <w:spacing w:after="0" w:line="240" w:lineRule="auto"/>
        <w:ind w:left="454" w:hanging="454"/>
        <w:rPr>
          <w:rFonts w:ascii="Arial" w:hAnsi="Arial" w:cs="Arial"/>
        </w:rPr>
      </w:pPr>
      <w:r w:rsidRPr="004B5CD9">
        <w:rPr>
          <w:rFonts w:ascii="Arial" w:hAnsi="Arial" w:cs="Arial"/>
        </w:rPr>
        <w:t>The Trust Mortality Committee has been evaluated and developed into a</w:t>
      </w:r>
      <w:r w:rsidR="00EE1AFC" w:rsidRPr="004B5CD9">
        <w:rPr>
          <w:rFonts w:ascii="Arial" w:hAnsi="Arial" w:cs="Arial"/>
        </w:rPr>
        <w:t xml:space="preserve"> Learning the Lessons Oversight Committee which will improve governance </w:t>
      </w:r>
      <w:r w:rsidR="002C11BB" w:rsidRPr="004B5CD9">
        <w:rPr>
          <w:rFonts w:ascii="Arial" w:hAnsi="Arial" w:cs="Arial"/>
        </w:rPr>
        <w:t>around learning and drive quality improvement.</w:t>
      </w:r>
    </w:p>
    <w:p w14:paraId="00A15360" w14:textId="77777777" w:rsidR="00B84A26" w:rsidRPr="004B5CD9" w:rsidRDefault="00B84A26" w:rsidP="004B5CD9">
      <w:pPr>
        <w:spacing w:after="0" w:line="240" w:lineRule="auto"/>
        <w:ind w:left="454" w:hanging="454"/>
        <w:rPr>
          <w:rFonts w:ascii="Arial" w:eastAsia="Times New Roman" w:hAnsi="Arial" w:cs="Arial"/>
        </w:rPr>
      </w:pPr>
    </w:p>
    <w:p w14:paraId="48082AD8" w14:textId="44DFB8DB" w:rsidR="005E149E" w:rsidRPr="004B5CD9" w:rsidRDefault="006D746E" w:rsidP="004B5CD9">
      <w:pPr>
        <w:spacing w:after="0" w:line="240" w:lineRule="auto"/>
        <w:ind w:left="454" w:hanging="454"/>
        <w:rPr>
          <w:rFonts w:ascii="Arial" w:eastAsia="Times New Roman" w:hAnsi="Arial" w:cs="Arial"/>
          <w:b/>
          <w:bCs/>
        </w:rPr>
      </w:pPr>
      <w:r w:rsidRPr="004B5CD9">
        <w:rPr>
          <w:rFonts w:ascii="Arial" w:eastAsia="Times New Roman" w:hAnsi="Arial" w:cs="Arial"/>
          <w:b/>
          <w:bCs/>
        </w:rPr>
        <w:t>3.</w:t>
      </w:r>
      <w:r w:rsidRPr="004B5CD9">
        <w:rPr>
          <w:rFonts w:ascii="Arial" w:eastAsia="Times New Roman" w:hAnsi="Arial" w:cs="Arial"/>
          <w:b/>
          <w:bCs/>
        </w:rPr>
        <w:tab/>
      </w:r>
      <w:r w:rsidR="005E149E" w:rsidRPr="004B5CD9">
        <w:rPr>
          <w:rFonts w:ascii="Arial" w:eastAsia="Times New Roman" w:hAnsi="Arial" w:cs="Arial"/>
          <w:b/>
          <w:bCs/>
        </w:rPr>
        <w:t>Data Summary of all Deaths</w:t>
      </w:r>
    </w:p>
    <w:p w14:paraId="7C60774F" w14:textId="77777777" w:rsidR="00222712" w:rsidRPr="004B5CD9" w:rsidRDefault="00222712" w:rsidP="004B5CD9">
      <w:pPr>
        <w:spacing w:after="0" w:line="240" w:lineRule="auto"/>
        <w:rPr>
          <w:rFonts w:ascii="Arial" w:eastAsia="Times New Roman" w:hAnsi="Arial" w:cs="Arial"/>
        </w:rPr>
      </w:pPr>
    </w:p>
    <w:p w14:paraId="1BCE0B03" w14:textId="7A34FEE1" w:rsidR="008E612A" w:rsidRDefault="005E149E" w:rsidP="004B5CD9">
      <w:pPr>
        <w:spacing w:after="0" w:line="240" w:lineRule="auto"/>
        <w:rPr>
          <w:rFonts w:ascii="Arial" w:hAnsi="Arial" w:cs="Arial"/>
        </w:rPr>
      </w:pPr>
      <w:r w:rsidRPr="004B5CD9">
        <w:rPr>
          <w:rFonts w:ascii="Arial" w:eastAsia="Times New Roman" w:hAnsi="Arial" w:cs="Arial"/>
          <w:lang w:eastAsia="en-GB"/>
        </w:rPr>
        <w:t>Note that inpatients and learning disability (LD) data is based upon whether the patient has an open inpatient or LD referral at time of death.</w:t>
      </w:r>
      <w:r w:rsidR="008E612A" w:rsidRPr="004B5CD9">
        <w:rPr>
          <w:rFonts w:ascii="Arial" w:hAnsi="Arial" w:cs="Arial"/>
        </w:rPr>
        <w:t xml:space="preserve"> The table below outlines information f</w:t>
      </w:r>
      <w:r w:rsidR="00EE7885" w:rsidRPr="004B5CD9">
        <w:rPr>
          <w:rFonts w:ascii="Arial" w:hAnsi="Arial" w:cs="Arial"/>
        </w:rPr>
        <w:t>rom</w:t>
      </w:r>
      <w:r w:rsidR="00DE54B1" w:rsidRPr="004B5CD9">
        <w:rPr>
          <w:rFonts w:ascii="Arial" w:hAnsi="Arial" w:cs="Arial"/>
        </w:rPr>
        <w:br/>
      </w:r>
      <w:r w:rsidR="004F23E5" w:rsidRPr="004B5CD9">
        <w:rPr>
          <w:rFonts w:ascii="Arial" w:hAnsi="Arial" w:cs="Arial"/>
          <w:color w:val="000000" w:themeColor="text1"/>
        </w:rPr>
        <w:t xml:space="preserve">1 </w:t>
      </w:r>
      <w:r w:rsidR="00B001C1" w:rsidRPr="004B5CD9">
        <w:rPr>
          <w:rFonts w:ascii="Arial" w:hAnsi="Arial" w:cs="Arial"/>
          <w:color w:val="000000" w:themeColor="text1"/>
        </w:rPr>
        <w:t>October</w:t>
      </w:r>
      <w:r w:rsidR="004F23E5" w:rsidRPr="004B5CD9">
        <w:rPr>
          <w:rFonts w:ascii="Arial" w:hAnsi="Arial" w:cs="Arial"/>
          <w:color w:val="000000" w:themeColor="text1"/>
        </w:rPr>
        <w:t xml:space="preserve"> 2024 to 3</w:t>
      </w:r>
      <w:r w:rsidR="00B001C1" w:rsidRPr="004B5CD9">
        <w:rPr>
          <w:rFonts w:ascii="Arial" w:hAnsi="Arial" w:cs="Arial"/>
          <w:color w:val="000000" w:themeColor="text1"/>
        </w:rPr>
        <w:t>1</w:t>
      </w:r>
      <w:r w:rsidR="004F23E5" w:rsidRPr="004B5CD9">
        <w:rPr>
          <w:rFonts w:ascii="Arial" w:hAnsi="Arial" w:cs="Arial"/>
          <w:color w:val="000000" w:themeColor="text1"/>
        </w:rPr>
        <w:t xml:space="preserve"> </w:t>
      </w:r>
      <w:r w:rsidR="00B001C1" w:rsidRPr="004B5CD9">
        <w:rPr>
          <w:rFonts w:ascii="Arial" w:hAnsi="Arial" w:cs="Arial"/>
          <w:color w:val="000000" w:themeColor="text1"/>
        </w:rPr>
        <w:t>December</w:t>
      </w:r>
      <w:r w:rsidR="004F23E5" w:rsidRPr="004B5CD9">
        <w:rPr>
          <w:rFonts w:ascii="Arial" w:hAnsi="Arial" w:cs="Arial"/>
          <w:color w:val="000000" w:themeColor="text1"/>
        </w:rPr>
        <w:t xml:space="preserve"> 2024</w:t>
      </w:r>
      <w:r w:rsidR="00C612A5" w:rsidRPr="004B5CD9">
        <w:rPr>
          <w:rFonts w:ascii="Arial" w:hAnsi="Arial" w:cs="Arial"/>
        </w:rPr>
        <w:t>.</w:t>
      </w:r>
    </w:p>
    <w:p w14:paraId="1E7FC08A" w14:textId="77777777" w:rsidR="00E52A96" w:rsidRPr="00CF1642" w:rsidRDefault="00E52A96" w:rsidP="004B5CD9">
      <w:pPr>
        <w:spacing w:after="0" w:line="240" w:lineRule="auto"/>
        <w:rPr>
          <w:rFonts w:ascii="Arial" w:hAnsi="Arial" w:cs="Arial"/>
          <w:color w:val="000000" w:themeColor="text1"/>
          <w:sz w:val="8"/>
          <w:szCs w:val="16"/>
        </w:rPr>
      </w:pPr>
    </w:p>
    <w:tbl>
      <w:tblPr>
        <w:tblStyle w:val="TableGrid"/>
        <w:tblW w:w="9634" w:type="dxa"/>
        <w:jc w:val="center"/>
        <w:tblLayout w:type="fixed"/>
        <w:tblLook w:val="04A0" w:firstRow="1" w:lastRow="0" w:firstColumn="1" w:lastColumn="0" w:noHBand="0" w:noVBand="1"/>
      </w:tblPr>
      <w:tblGrid>
        <w:gridCol w:w="3397"/>
        <w:gridCol w:w="1985"/>
        <w:gridCol w:w="2126"/>
        <w:gridCol w:w="2126"/>
      </w:tblGrid>
      <w:tr w:rsidR="00B001C1" w:rsidRPr="004B5CD9" w14:paraId="536CD55F" w14:textId="6FA72404" w:rsidTr="00B001C1">
        <w:trPr>
          <w:jc w:val="center"/>
        </w:trPr>
        <w:tc>
          <w:tcPr>
            <w:tcW w:w="3397" w:type="dxa"/>
            <w:shd w:val="clear" w:color="auto" w:fill="0077D0"/>
          </w:tcPr>
          <w:p w14:paraId="4B174621" w14:textId="28152695" w:rsidR="00B001C1" w:rsidRPr="004B5CD9" w:rsidRDefault="00B001C1" w:rsidP="00E52A96">
            <w:pPr>
              <w:spacing w:before="120"/>
              <w:rPr>
                <w:rFonts w:ascii="Arial" w:eastAsia="Times New Roman" w:hAnsi="Arial" w:cs="Arial"/>
                <w:b/>
                <w:bCs/>
                <w:color w:val="FFFFFF" w:themeColor="background1"/>
                <w:lang w:eastAsia="en-GB"/>
              </w:rPr>
            </w:pPr>
            <w:r w:rsidRPr="004B5CD9">
              <w:rPr>
                <w:rFonts w:ascii="Arial" w:hAnsi="Arial" w:cs="Arial"/>
              </w:rPr>
              <w:br w:type="page"/>
            </w:r>
          </w:p>
        </w:tc>
        <w:tc>
          <w:tcPr>
            <w:tcW w:w="1985" w:type="dxa"/>
            <w:shd w:val="clear" w:color="auto" w:fill="0077D0"/>
          </w:tcPr>
          <w:p w14:paraId="56EA4913" w14:textId="4DEEEE5B" w:rsidR="00B001C1" w:rsidRPr="004B5CD9" w:rsidRDefault="00B001C1" w:rsidP="00E52A96">
            <w:pPr>
              <w:spacing w:before="120"/>
              <w:jc w:val="center"/>
              <w:rPr>
                <w:rFonts w:ascii="Arial" w:eastAsia="Times New Roman" w:hAnsi="Arial" w:cs="Arial"/>
                <w:b/>
                <w:color w:val="FFFFFF" w:themeColor="background1"/>
                <w:lang w:eastAsia="en-GB"/>
              </w:rPr>
            </w:pPr>
            <w:r w:rsidRPr="004B5CD9">
              <w:rPr>
                <w:rFonts w:ascii="Arial" w:eastAsia="Times New Roman" w:hAnsi="Arial" w:cs="Arial"/>
                <w:b/>
                <w:color w:val="FFFFFF" w:themeColor="background1"/>
                <w:lang w:eastAsia="en-GB"/>
              </w:rPr>
              <w:t>October</w:t>
            </w:r>
          </w:p>
        </w:tc>
        <w:tc>
          <w:tcPr>
            <w:tcW w:w="2126" w:type="dxa"/>
            <w:shd w:val="clear" w:color="auto" w:fill="0077D0"/>
          </w:tcPr>
          <w:p w14:paraId="75024167" w14:textId="5015FB38" w:rsidR="00B001C1" w:rsidRPr="004B5CD9" w:rsidRDefault="00B001C1" w:rsidP="00E52A96">
            <w:pPr>
              <w:spacing w:before="120"/>
              <w:jc w:val="center"/>
              <w:rPr>
                <w:rFonts w:ascii="Arial" w:eastAsia="Times New Roman" w:hAnsi="Arial" w:cs="Arial"/>
                <w:b/>
                <w:color w:val="FFFFFF" w:themeColor="background1"/>
                <w:lang w:eastAsia="en-GB"/>
              </w:rPr>
            </w:pPr>
            <w:r w:rsidRPr="004B5CD9">
              <w:rPr>
                <w:rFonts w:ascii="Arial" w:eastAsia="Times New Roman" w:hAnsi="Arial" w:cs="Arial"/>
                <w:b/>
                <w:color w:val="FFFFFF" w:themeColor="background1"/>
                <w:lang w:eastAsia="en-GB"/>
              </w:rPr>
              <w:t>November</w:t>
            </w:r>
          </w:p>
        </w:tc>
        <w:tc>
          <w:tcPr>
            <w:tcW w:w="2126" w:type="dxa"/>
            <w:shd w:val="clear" w:color="auto" w:fill="0077D0"/>
          </w:tcPr>
          <w:p w14:paraId="7A1DB119" w14:textId="6B34F589" w:rsidR="00B001C1" w:rsidRPr="004B5CD9" w:rsidRDefault="00B001C1" w:rsidP="00E52A96">
            <w:pPr>
              <w:spacing w:before="120"/>
              <w:jc w:val="center"/>
              <w:rPr>
                <w:rFonts w:ascii="Arial" w:eastAsia="Times New Roman" w:hAnsi="Arial" w:cs="Arial"/>
                <w:b/>
                <w:color w:val="FFFFFF" w:themeColor="background1"/>
                <w:lang w:eastAsia="en-GB"/>
              </w:rPr>
            </w:pPr>
            <w:r w:rsidRPr="004B5CD9">
              <w:rPr>
                <w:rFonts w:ascii="Arial" w:eastAsia="Times New Roman" w:hAnsi="Arial" w:cs="Arial"/>
                <w:b/>
                <w:color w:val="FFFFFF" w:themeColor="background1"/>
                <w:lang w:eastAsia="en-GB"/>
              </w:rPr>
              <w:t>December</w:t>
            </w:r>
          </w:p>
        </w:tc>
      </w:tr>
      <w:tr w:rsidR="00B001C1" w:rsidRPr="004B5CD9" w14:paraId="4690DC51" w14:textId="520D8294" w:rsidTr="00B001C1">
        <w:trPr>
          <w:jc w:val="center"/>
        </w:trPr>
        <w:tc>
          <w:tcPr>
            <w:tcW w:w="3397" w:type="dxa"/>
          </w:tcPr>
          <w:p w14:paraId="11427F39" w14:textId="2B27E781" w:rsidR="00B001C1" w:rsidRPr="004B5CD9" w:rsidRDefault="00B001C1" w:rsidP="00E52A96">
            <w:pPr>
              <w:spacing w:before="120"/>
              <w:rPr>
                <w:rFonts w:ascii="Arial" w:eastAsia="Times New Roman" w:hAnsi="Arial" w:cs="Arial"/>
                <w:lang w:eastAsia="en-GB"/>
              </w:rPr>
            </w:pPr>
            <w:r w:rsidRPr="004B5CD9">
              <w:rPr>
                <w:rFonts w:ascii="Arial" w:eastAsia="Times New Roman" w:hAnsi="Arial" w:cs="Arial"/>
                <w:lang w:eastAsia="en-GB"/>
              </w:rPr>
              <w:t>Total Deaths Per Month</w:t>
            </w:r>
          </w:p>
        </w:tc>
        <w:tc>
          <w:tcPr>
            <w:tcW w:w="1985" w:type="dxa"/>
          </w:tcPr>
          <w:p w14:paraId="3F175BCA" w14:textId="276344AF" w:rsidR="00B001C1" w:rsidRPr="004B5CD9" w:rsidRDefault="00684121" w:rsidP="00E52A96">
            <w:pPr>
              <w:spacing w:before="120"/>
              <w:jc w:val="center"/>
              <w:rPr>
                <w:rFonts w:ascii="Arial" w:eastAsia="Times New Roman" w:hAnsi="Arial" w:cs="Arial"/>
                <w:lang w:eastAsia="en-GB"/>
              </w:rPr>
            </w:pPr>
            <w:r w:rsidRPr="004B5CD9">
              <w:rPr>
                <w:rFonts w:ascii="Arial" w:hAnsi="Arial" w:cs="Arial"/>
                <w:color w:val="212529"/>
              </w:rPr>
              <w:t>200</w:t>
            </w:r>
          </w:p>
        </w:tc>
        <w:tc>
          <w:tcPr>
            <w:tcW w:w="2126" w:type="dxa"/>
          </w:tcPr>
          <w:p w14:paraId="7E29230E" w14:textId="3A388671" w:rsidR="00B001C1" w:rsidRPr="004B5CD9" w:rsidRDefault="00684121" w:rsidP="00E52A96">
            <w:pPr>
              <w:spacing w:before="120"/>
              <w:jc w:val="center"/>
              <w:rPr>
                <w:rFonts w:ascii="Arial" w:eastAsia="Times New Roman" w:hAnsi="Arial" w:cs="Arial"/>
                <w:lang w:eastAsia="en-GB"/>
              </w:rPr>
            </w:pPr>
            <w:r w:rsidRPr="004B5CD9">
              <w:rPr>
                <w:rFonts w:ascii="Arial" w:hAnsi="Arial" w:cs="Arial"/>
                <w:color w:val="212529"/>
              </w:rPr>
              <w:t>177</w:t>
            </w:r>
          </w:p>
        </w:tc>
        <w:tc>
          <w:tcPr>
            <w:tcW w:w="2126" w:type="dxa"/>
          </w:tcPr>
          <w:p w14:paraId="6B5746B3" w14:textId="0A8A9CDE" w:rsidR="00B001C1" w:rsidRPr="004B5CD9" w:rsidRDefault="00684121" w:rsidP="00E52A96">
            <w:pPr>
              <w:spacing w:before="120"/>
              <w:jc w:val="center"/>
              <w:rPr>
                <w:rFonts w:ascii="Arial" w:hAnsi="Arial" w:cs="Arial"/>
                <w:color w:val="212529"/>
              </w:rPr>
            </w:pPr>
            <w:r w:rsidRPr="004B5CD9">
              <w:rPr>
                <w:rFonts w:ascii="Arial" w:hAnsi="Arial" w:cs="Arial"/>
                <w:color w:val="212529"/>
              </w:rPr>
              <w:t>205</w:t>
            </w:r>
          </w:p>
        </w:tc>
      </w:tr>
      <w:tr w:rsidR="00B001C1" w:rsidRPr="004B5CD9" w14:paraId="7899DA4D" w14:textId="512EA928" w:rsidTr="00B001C1">
        <w:trPr>
          <w:jc w:val="center"/>
        </w:trPr>
        <w:tc>
          <w:tcPr>
            <w:tcW w:w="3397" w:type="dxa"/>
          </w:tcPr>
          <w:p w14:paraId="3E60EC30" w14:textId="5C4CD4A3" w:rsidR="00B001C1" w:rsidRPr="004B5CD9" w:rsidRDefault="00B001C1" w:rsidP="00E52A96">
            <w:pPr>
              <w:spacing w:before="120"/>
              <w:rPr>
                <w:rFonts w:ascii="Arial" w:eastAsia="Times New Roman" w:hAnsi="Arial" w:cs="Arial"/>
                <w:lang w:eastAsia="en-GB"/>
              </w:rPr>
            </w:pPr>
            <w:r w:rsidRPr="004B5CD9">
              <w:rPr>
                <w:rFonts w:ascii="Arial" w:eastAsia="Times New Roman" w:hAnsi="Arial" w:cs="Arial"/>
                <w:lang w:eastAsia="en-GB"/>
              </w:rPr>
              <w:t>LD Referral Deaths</w:t>
            </w:r>
          </w:p>
        </w:tc>
        <w:tc>
          <w:tcPr>
            <w:tcW w:w="1985" w:type="dxa"/>
          </w:tcPr>
          <w:p w14:paraId="2751C255" w14:textId="4E362A0E" w:rsidR="00B001C1" w:rsidRPr="004B5CD9" w:rsidRDefault="00684121" w:rsidP="00E52A96">
            <w:pPr>
              <w:spacing w:before="120"/>
              <w:jc w:val="center"/>
              <w:rPr>
                <w:rFonts w:ascii="Arial" w:eastAsia="Times New Roman" w:hAnsi="Arial" w:cs="Arial"/>
                <w:lang w:eastAsia="en-GB"/>
              </w:rPr>
            </w:pPr>
            <w:r w:rsidRPr="004B5CD9">
              <w:rPr>
                <w:rFonts w:ascii="Arial" w:hAnsi="Arial" w:cs="Arial"/>
                <w:color w:val="212529"/>
              </w:rPr>
              <w:t>1</w:t>
            </w:r>
          </w:p>
        </w:tc>
        <w:tc>
          <w:tcPr>
            <w:tcW w:w="2126" w:type="dxa"/>
          </w:tcPr>
          <w:p w14:paraId="06990901" w14:textId="62EB1295" w:rsidR="00B001C1" w:rsidRPr="004B5CD9" w:rsidRDefault="00684121" w:rsidP="00E52A96">
            <w:pPr>
              <w:spacing w:before="120"/>
              <w:jc w:val="center"/>
              <w:rPr>
                <w:rFonts w:ascii="Arial" w:eastAsia="Times New Roman" w:hAnsi="Arial" w:cs="Arial"/>
                <w:lang w:eastAsia="en-GB"/>
              </w:rPr>
            </w:pPr>
            <w:r w:rsidRPr="004B5CD9">
              <w:rPr>
                <w:rFonts w:ascii="Arial" w:hAnsi="Arial" w:cs="Arial"/>
                <w:color w:val="212529"/>
              </w:rPr>
              <w:t>2</w:t>
            </w:r>
          </w:p>
        </w:tc>
        <w:tc>
          <w:tcPr>
            <w:tcW w:w="2126" w:type="dxa"/>
          </w:tcPr>
          <w:p w14:paraId="061C441E" w14:textId="6F34C1C8" w:rsidR="00B001C1" w:rsidRPr="004B5CD9" w:rsidRDefault="00684121" w:rsidP="00E52A96">
            <w:pPr>
              <w:spacing w:before="120"/>
              <w:jc w:val="center"/>
              <w:rPr>
                <w:rFonts w:ascii="Arial" w:hAnsi="Arial" w:cs="Arial"/>
                <w:color w:val="212529"/>
              </w:rPr>
            </w:pPr>
            <w:r w:rsidRPr="004B5CD9">
              <w:rPr>
                <w:rFonts w:ascii="Arial" w:hAnsi="Arial" w:cs="Arial"/>
                <w:color w:val="212529"/>
              </w:rPr>
              <w:t>2</w:t>
            </w:r>
          </w:p>
        </w:tc>
      </w:tr>
    </w:tbl>
    <w:p w14:paraId="2E48079C" w14:textId="77777777" w:rsidR="00BA50F9" w:rsidRPr="004B5CD9" w:rsidRDefault="00BA50F9" w:rsidP="004B5CD9">
      <w:pPr>
        <w:spacing w:after="0" w:line="240" w:lineRule="auto"/>
        <w:rPr>
          <w:rFonts w:ascii="Arial" w:hAnsi="Arial" w:cs="Arial"/>
        </w:rPr>
      </w:pPr>
    </w:p>
    <w:p w14:paraId="3D245337" w14:textId="619EDA48" w:rsidR="00CD5A46" w:rsidRPr="004B5CD9" w:rsidRDefault="00335580" w:rsidP="004B5CD9">
      <w:pPr>
        <w:spacing w:after="0" w:line="240" w:lineRule="auto"/>
        <w:rPr>
          <w:rFonts w:ascii="Arial" w:hAnsi="Arial" w:cs="Arial"/>
        </w:rPr>
      </w:pPr>
      <w:r w:rsidRPr="004B5CD9">
        <w:rPr>
          <w:rFonts w:ascii="Arial" w:hAnsi="Arial" w:cs="Arial"/>
        </w:rPr>
        <w:t xml:space="preserve">From </w:t>
      </w:r>
      <w:r w:rsidR="00232D40" w:rsidRPr="004B5CD9">
        <w:rPr>
          <w:rFonts w:ascii="Arial" w:hAnsi="Arial" w:cs="Arial"/>
          <w:color w:val="000000" w:themeColor="text1"/>
        </w:rPr>
        <w:t xml:space="preserve">1 </w:t>
      </w:r>
      <w:r w:rsidR="00DC664A" w:rsidRPr="004B5CD9">
        <w:rPr>
          <w:rFonts w:ascii="Arial" w:hAnsi="Arial" w:cs="Arial"/>
          <w:color w:val="000000" w:themeColor="text1"/>
        </w:rPr>
        <w:t>October</w:t>
      </w:r>
      <w:r w:rsidR="00232D40" w:rsidRPr="004B5CD9">
        <w:rPr>
          <w:rFonts w:ascii="Arial" w:hAnsi="Arial" w:cs="Arial"/>
          <w:color w:val="000000" w:themeColor="text1"/>
        </w:rPr>
        <w:t xml:space="preserve"> to 3</w:t>
      </w:r>
      <w:r w:rsidR="00DC664A" w:rsidRPr="004B5CD9">
        <w:rPr>
          <w:rFonts w:ascii="Arial" w:hAnsi="Arial" w:cs="Arial"/>
          <w:color w:val="000000" w:themeColor="text1"/>
        </w:rPr>
        <w:t>1</w:t>
      </w:r>
      <w:r w:rsidR="00232D40" w:rsidRPr="004B5CD9">
        <w:rPr>
          <w:rFonts w:ascii="Arial" w:hAnsi="Arial" w:cs="Arial"/>
          <w:color w:val="000000" w:themeColor="text1"/>
        </w:rPr>
        <w:t xml:space="preserve"> </w:t>
      </w:r>
      <w:r w:rsidR="00DC664A" w:rsidRPr="004B5CD9">
        <w:rPr>
          <w:rFonts w:ascii="Arial" w:hAnsi="Arial" w:cs="Arial"/>
          <w:color w:val="000000" w:themeColor="text1"/>
        </w:rPr>
        <w:t>December</w:t>
      </w:r>
      <w:r w:rsidR="00232D40" w:rsidRPr="004B5CD9">
        <w:rPr>
          <w:rFonts w:ascii="Arial" w:hAnsi="Arial" w:cs="Arial"/>
          <w:color w:val="000000" w:themeColor="text1"/>
        </w:rPr>
        <w:t xml:space="preserve"> 2024</w:t>
      </w:r>
      <w:r w:rsidRPr="004B5CD9">
        <w:rPr>
          <w:rFonts w:ascii="Arial" w:hAnsi="Arial" w:cs="Arial"/>
        </w:rPr>
        <w:t xml:space="preserve">, the Trust received </w:t>
      </w:r>
      <w:r w:rsidR="00DC664A" w:rsidRPr="004B5CD9">
        <w:rPr>
          <w:rFonts w:ascii="Arial" w:hAnsi="Arial" w:cs="Arial"/>
        </w:rPr>
        <w:t>582</w:t>
      </w:r>
      <w:r w:rsidR="002D1141" w:rsidRPr="004B5CD9">
        <w:rPr>
          <w:rFonts w:ascii="Arial" w:hAnsi="Arial" w:cs="Arial"/>
        </w:rPr>
        <w:t xml:space="preserve"> </w:t>
      </w:r>
      <w:r w:rsidRPr="004B5CD9">
        <w:rPr>
          <w:rFonts w:ascii="Arial" w:hAnsi="Arial" w:cs="Arial"/>
        </w:rPr>
        <w:t>death notifications of patients who have been in contact with our services.</w:t>
      </w:r>
      <w:r w:rsidR="006D7279" w:rsidRPr="004B5CD9">
        <w:rPr>
          <w:rFonts w:ascii="Arial" w:hAnsi="Arial" w:cs="Arial"/>
        </w:rPr>
        <w:t xml:space="preserve"> </w:t>
      </w:r>
      <w:r w:rsidRPr="004B5CD9">
        <w:rPr>
          <w:rFonts w:ascii="Arial" w:eastAsia="Times New Roman" w:hAnsi="Arial" w:cs="Arial"/>
          <w:lang w:eastAsia="en-GB"/>
        </w:rPr>
        <w:t>Of these deaths</w:t>
      </w:r>
      <w:r w:rsidR="002648B4">
        <w:rPr>
          <w:rFonts w:ascii="Arial" w:eastAsia="Times New Roman" w:hAnsi="Arial" w:cs="Arial"/>
          <w:lang w:eastAsia="en-GB"/>
        </w:rPr>
        <w:t>,</w:t>
      </w:r>
      <w:r w:rsidRPr="004B5CD9">
        <w:rPr>
          <w:rFonts w:ascii="Arial" w:eastAsia="Times New Roman" w:hAnsi="Arial" w:cs="Arial"/>
          <w:lang w:eastAsia="en-GB"/>
        </w:rPr>
        <w:t xml:space="preserve"> </w:t>
      </w:r>
      <w:r w:rsidR="001C23E4" w:rsidRPr="004B5CD9">
        <w:rPr>
          <w:rFonts w:ascii="Arial" w:hAnsi="Arial" w:cs="Arial"/>
        </w:rPr>
        <w:t>319</w:t>
      </w:r>
      <w:r w:rsidR="00025BF8" w:rsidRPr="004B5CD9">
        <w:rPr>
          <w:rFonts w:ascii="Arial" w:eastAsia="Times New Roman" w:hAnsi="Arial" w:cs="Arial"/>
          <w:lang w:eastAsia="en-GB"/>
        </w:rPr>
        <w:t xml:space="preserve"> patients were male, </w:t>
      </w:r>
      <w:r w:rsidR="001C23E4" w:rsidRPr="004B5CD9">
        <w:rPr>
          <w:rFonts w:ascii="Arial" w:eastAsia="Times New Roman" w:hAnsi="Arial" w:cs="Arial"/>
          <w:lang w:eastAsia="en-GB"/>
        </w:rPr>
        <w:t>263</w:t>
      </w:r>
      <w:r w:rsidR="00570CE1" w:rsidRPr="004B5CD9">
        <w:rPr>
          <w:rFonts w:ascii="Arial" w:eastAsia="Times New Roman" w:hAnsi="Arial" w:cs="Arial"/>
          <w:lang w:eastAsia="en-GB"/>
        </w:rPr>
        <w:t xml:space="preserve"> </w:t>
      </w:r>
      <w:r w:rsidR="00025BF8" w:rsidRPr="004B5CD9">
        <w:rPr>
          <w:rFonts w:ascii="Arial" w:eastAsia="Times New Roman" w:hAnsi="Arial" w:cs="Arial"/>
          <w:lang w:eastAsia="en-GB"/>
        </w:rPr>
        <w:t>female</w:t>
      </w:r>
      <w:r w:rsidR="00AA2B6C" w:rsidRPr="004B5CD9">
        <w:rPr>
          <w:rFonts w:ascii="Arial" w:eastAsia="Times New Roman" w:hAnsi="Arial" w:cs="Arial"/>
          <w:lang w:eastAsia="en-GB"/>
        </w:rPr>
        <w:t xml:space="preserve">, </w:t>
      </w:r>
      <w:r w:rsidR="00D049C9" w:rsidRPr="004B5CD9">
        <w:rPr>
          <w:rFonts w:ascii="Arial" w:eastAsia="Times New Roman" w:hAnsi="Arial" w:cs="Arial"/>
          <w:lang w:eastAsia="en-GB"/>
        </w:rPr>
        <w:t>435</w:t>
      </w:r>
      <w:r w:rsidR="00F72725" w:rsidRPr="004B5CD9">
        <w:rPr>
          <w:rFonts w:ascii="Arial" w:hAnsi="Arial" w:cs="Arial"/>
        </w:rPr>
        <w:t xml:space="preserve"> </w:t>
      </w:r>
      <w:r w:rsidR="00025BF8" w:rsidRPr="004B5CD9">
        <w:rPr>
          <w:rFonts w:ascii="Arial" w:eastAsia="Times New Roman" w:hAnsi="Arial" w:cs="Arial"/>
          <w:lang w:eastAsia="en-GB"/>
        </w:rPr>
        <w:t xml:space="preserve">were white British and </w:t>
      </w:r>
      <w:r w:rsidR="0015113F" w:rsidRPr="004B5CD9">
        <w:rPr>
          <w:rFonts w:ascii="Arial" w:eastAsia="Times New Roman" w:hAnsi="Arial" w:cs="Arial"/>
          <w:lang w:eastAsia="en-GB"/>
        </w:rPr>
        <w:t>13</w:t>
      </w:r>
      <w:r w:rsidR="00232D40" w:rsidRPr="004B5CD9">
        <w:rPr>
          <w:rFonts w:ascii="Arial" w:eastAsia="Times New Roman" w:hAnsi="Arial" w:cs="Arial"/>
          <w:lang w:eastAsia="en-GB"/>
        </w:rPr>
        <w:t xml:space="preserve"> </w:t>
      </w:r>
      <w:r w:rsidR="00025BF8" w:rsidRPr="004B5CD9">
        <w:rPr>
          <w:rFonts w:ascii="Arial" w:eastAsia="Times New Roman" w:hAnsi="Arial" w:cs="Arial"/>
          <w:lang w:eastAsia="en-GB"/>
        </w:rPr>
        <w:t xml:space="preserve">Asian British. The youngest age was </w:t>
      </w:r>
      <w:r w:rsidR="00DD75AB" w:rsidRPr="004B5CD9">
        <w:rPr>
          <w:rFonts w:ascii="Arial" w:hAnsi="Arial" w:cs="Arial"/>
        </w:rPr>
        <w:t>0</w:t>
      </w:r>
      <w:r w:rsidR="00025BF8" w:rsidRPr="004B5CD9">
        <w:rPr>
          <w:rFonts w:ascii="Arial" w:eastAsia="Times New Roman" w:hAnsi="Arial" w:cs="Arial"/>
          <w:lang w:eastAsia="en-GB"/>
        </w:rPr>
        <w:t xml:space="preserve"> years, the </w:t>
      </w:r>
      <w:r w:rsidRPr="004B5CD9">
        <w:rPr>
          <w:rFonts w:ascii="Arial" w:eastAsia="Times New Roman" w:hAnsi="Arial" w:cs="Arial"/>
          <w:lang w:eastAsia="en-GB"/>
        </w:rPr>
        <w:t xml:space="preserve">oldest </w:t>
      </w:r>
      <w:r w:rsidR="00025BF8" w:rsidRPr="004B5CD9">
        <w:rPr>
          <w:rFonts w:ascii="Arial" w:eastAsia="Times New Roman" w:hAnsi="Arial" w:cs="Arial"/>
          <w:lang w:eastAsia="en-GB"/>
        </w:rPr>
        <w:t xml:space="preserve">age </w:t>
      </w:r>
      <w:r w:rsidRPr="004B5CD9">
        <w:rPr>
          <w:rFonts w:ascii="Arial" w:eastAsia="Times New Roman" w:hAnsi="Arial" w:cs="Arial"/>
          <w:lang w:eastAsia="en-GB"/>
        </w:rPr>
        <w:t xml:space="preserve">recorded </w:t>
      </w:r>
      <w:r w:rsidR="00025BF8" w:rsidRPr="004B5CD9">
        <w:rPr>
          <w:rFonts w:ascii="Arial" w:eastAsia="Times New Roman" w:hAnsi="Arial" w:cs="Arial"/>
          <w:lang w:eastAsia="en-GB"/>
        </w:rPr>
        <w:t xml:space="preserve">was </w:t>
      </w:r>
      <w:r w:rsidR="001C23E4" w:rsidRPr="004B5CD9">
        <w:rPr>
          <w:rFonts w:ascii="Arial" w:hAnsi="Arial" w:cs="Arial"/>
        </w:rPr>
        <w:t>104</w:t>
      </w:r>
      <w:r w:rsidR="004B118A" w:rsidRPr="004B5CD9">
        <w:rPr>
          <w:rFonts w:ascii="Arial" w:hAnsi="Arial" w:cs="Arial"/>
        </w:rPr>
        <w:t>.</w:t>
      </w:r>
      <w:r w:rsidR="00335BEC" w:rsidRPr="004B5CD9">
        <w:rPr>
          <w:rFonts w:ascii="Arial" w:hAnsi="Arial" w:cs="Arial"/>
        </w:rPr>
        <w:t xml:space="preserve"> </w:t>
      </w:r>
      <w:r w:rsidR="00CD5A46" w:rsidRPr="004B5CD9">
        <w:rPr>
          <w:rFonts w:ascii="Arial" w:hAnsi="Arial" w:cs="Arial"/>
        </w:rPr>
        <w:t xml:space="preserve">The Trust has reported </w:t>
      </w:r>
      <w:r w:rsidR="001C23E4" w:rsidRPr="004B5CD9">
        <w:rPr>
          <w:rFonts w:ascii="Arial" w:hAnsi="Arial" w:cs="Arial"/>
        </w:rPr>
        <w:t>five</w:t>
      </w:r>
      <w:r w:rsidR="00CD5A46" w:rsidRPr="004B5CD9">
        <w:rPr>
          <w:rFonts w:ascii="Arial" w:hAnsi="Arial" w:cs="Arial"/>
        </w:rPr>
        <w:t xml:space="preserve"> Learning Disability deaths in the reporting timeframe and </w:t>
      </w:r>
      <w:r w:rsidR="00471ED7" w:rsidRPr="004B5CD9">
        <w:rPr>
          <w:rFonts w:ascii="Arial" w:hAnsi="Arial" w:cs="Arial"/>
        </w:rPr>
        <w:t xml:space="preserve">no </w:t>
      </w:r>
      <w:r w:rsidR="00CD5A46" w:rsidRPr="004B5CD9">
        <w:rPr>
          <w:rFonts w:ascii="Arial" w:hAnsi="Arial" w:cs="Arial"/>
        </w:rPr>
        <w:t>death</w:t>
      </w:r>
      <w:r w:rsidR="00471ED7" w:rsidRPr="004B5CD9">
        <w:rPr>
          <w:rFonts w:ascii="Arial" w:hAnsi="Arial" w:cs="Arial"/>
        </w:rPr>
        <w:t>s</w:t>
      </w:r>
      <w:r w:rsidR="00CD5A46" w:rsidRPr="004B5CD9">
        <w:rPr>
          <w:rFonts w:ascii="Arial" w:hAnsi="Arial" w:cs="Arial"/>
        </w:rPr>
        <w:t xml:space="preserve"> </w:t>
      </w:r>
      <w:r w:rsidR="00471ED7" w:rsidRPr="004B5CD9">
        <w:rPr>
          <w:rFonts w:ascii="Arial" w:hAnsi="Arial" w:cs="Arial"/>
        </w:rPr>
        <w:t>of</w:t>
      </w:r>
      <w:r w:rsidR="00CD5A46" w:rsidRPr="004B5CD9">
        <w:rPr>
          <w:rFonts w:ascii="Arial" w:hAnsi="Arial" w:cs="Arial"/>
        </w:rPr>
        <w:t xml:space="preserve"> patient</w:t>
      </w:r>
      <w:r w:rsidR="00471ED7" w:rsidRPr="004B5CD9">
        <w:rPr>
          <w:rFonts w:ascii="Arial" w:hAnsi="Arial" w:cs="Arial"/>
        </w:rPr>
        <w:t>s</w:t>
      </w:r>
      <w:r w:rsidR="00CD5A46" w:rsidRPr="004B5CD9">
        <w:rPr>
          <w:rFonts w:ascii="Arial" w:hAnsi="Arial" w:cs="Arial"/>
        </w:rPr>
        <w:t xml:space="preserve"> with a diagnosis of autism</w:t>
      </w:r>
      <w:r w:rsidR="00111894" w:rsidRPr="004B5CD9">
        <w:rPr>
          <w:rFonts w:ascii="Arial" w:hAnsi="Arial" w:cs="Arial"/>
        </w:rPr>
        <w:t>.</w:t>
      </w:r>
    </w:p>
    <w:p w14:paraId="039E42BF" w14:textId="701CAA49" w:rsidR="00CC2CF5" w:rsidRDefault="00CC2CF5">
      <w:pPr>
        <w:rPr>
          <w:rFonts w:ascii="Arial" w:hAnsi="Arial" w:cs="Arial"/>
        </w:rPr>
      </w:pPr>
      <w:r>
        <w:rPr>
          <w:rFonts w:ascii="Arial" w:hAnsi="Arial" w:cs="Arial"/>
        </w:rPr>
        <w:br w:type="page"/>
      </w:r>
    </w:p>
    <w:p w14:paraId="58C9EC83" w14:textId="5FF5BEFF" w:rsidR="00A120A8" w:rsidRDefault="005E149E" w:rsidP="00CC2CF5">
      <w:pPr>
        <w:pStyle w:val="NoSpacing"/>
        <w:ind w:left="454" w:hanging="454"/>
        <w:rPr>
          <w:rFonts w:ascii="Arial" w:hAnsi="Arial" w:cs="Arial"/>
        </w:rPr>
      </w:pPr>
      <w:r w:rsidRPr="004B5CD9">
        <w:rPr>
          <w:rFonts w:ascii="Arial" w:hAnsi="Arial" w:cs="Arial"/>
          <w:b/>
          <w:bCs/>
        </w:rPr>
        <w:lastRenderedPageBreak/>
        <w:t>4.</w:t>
      </w:r>
      <w:r w:rsidRPr="004B5CD9">
        <w:rPr>
          <w:rFonts w:ascii="Arial" w:hAnsi="Arial" w:cs="Arial"/>
          <w:b/>
          <w:bCs/>
        </w:rPr>
        <w:tab/>
      </w:r>
      <w:r w:rsidR="00B84A26" w:rsidRPr="004B5CD9">
        <w:rPr>
          <w:rFonts w:ascii="Arial" w:hAnsi="Arial" w:cs="Arial"/>
          <w:b/>
          <w:bCs/>
        </w:rPr>
        <w:t>Review of Deaths</w:t>
      </w:r>
    </w:p>
    <w:p w14:paraId="07F405D2" w14:textId="77777777" w:rsidR="002648B4" w:rsidRPr="00CF1642" w:rsidRDefault="002648B4" w:rsidP="00CC2CF5">
      <w:pPr>
        <w:pStyle w:val="NoSpacing"/>
        <w:ind w:left="454" w:hanging="454"/>
        <w:rPr>
          <w:rFonts w:ascii="Arial" w:hAnsi="Arial" w:cs="Arial"/>
          <w:sz w:val="8"/>
          <w:szCs w:val="16"/>
        </w:rPr>
      </w:pPr>
    </w:p>
    <w:tbl>
      <w:tblPr>
        <w:tblpPr w:leftFromText="180" w:rightFromText="180" w:vertAnchor="text" w:tblpXSpec="center"/>
        <w:tblW w:w="10055" w:type="dxa"/>
        <w:tblCellMar>
          <w:left w:w="0" w:type="dxa"/>
          <w:right w:w="0" w:type="dxa"/>
        </w:tblCellMar>
        <w:tblLook w:val="04A0" w:firstRow="1" w:lastRow="0" w:firstColumn="1" w:lastColumn="0" w:noHBand="0" w:noVBand="1"/>
      </w:tblPr>
      <w:tblGrid>
        <w:gridCol w:w="3109"/>
        <w:gridCol w:w="6946"/>
      </w:tblGrid>
      <w:tr w:rsidR="005679BD" w:rsidRPr="004B5CD9" w14:paraId="39DDE2AF" w14:textId="77777777" w:rsidTr="00E1635A">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467D5" w14:textId="0D577449" w:rsidR="005679BD" w:rsidRPr="004B5CD9" w:rsidRDefault="005679BD" w:rsidP="002648B4">
            <w:pPr>
              <w:spacing w:before="120" w:after="0" w:line="240" w:lineRule="auto"/>
              <w:rPr>
                <w:rFonts w:ascii="Arial" w:hAnsi="Arial" w:cs="Arial"/>
                <w:color w:val="000000"/>
                <w:highlight w:val="yellow"/>
              </w:rPr>
            </w:pPr>
            <w:r w:rsidRPr="004B5CD9">
              <w:rPr>
                <w:rFonts w:ascii="Arial" w:hAnsi="Arial" w:cs="Arial"/>
                <w:color w:val="000000" w:themeColor="text1"/>
              </w:rPr>
              <w:t xml:space="preserve">Total number of Deaths from </w:t>
            </w:r>
            <w:r w:rsidR="006404EA" w:rsidRPr="004B5CD9">
              <w:rPr>
                <w:rFonts w:ascii="Arial" w:hAnsi="Arial" w:cs="Arial"/>
                <w:color w:val="000000" w:themeColor="text1"/>
              </w:rPr>
              <w:t xml:space="preserve">1 </w:t>
            </w:r>
            <w:r w:rsidR="00F50128" w:rsidRPr="004B5CD9">
              <w:rPr>
                <w:rFonts w:ascii="Arial" w:hAnsi="Arial" w:cs="Arial"/>
                <w:color w:val="000000" w:themeColor="text1"/>
              </w:rPr>
              <w:t>October</w:t>
            </w:r>
            <w:r w:rsidR="004B118A" w:rsidRPr="004B5CD9">
              <w:rPr>
                <w:rFonts w:ascii="Arial" w:hAnsi="Arial" w:cs="Arial"/>
                <w:color w:val="000000" w:themeColor="text1"/>
              </w:rPr>
              <w:t xml:space="preserve"> 202</w:t>
            </w:r>
            <w:r w:rsidR="008B6652" w:rsidRPr="004B5CD9">
              <w:rPr>
                <w:rFonts w:ascii="Arial" w:hAnsi="Arial" w:cs="Arial"/>
                <w:color w:val="000000" w:themeColor="text1"/>
              </w:rPr>
              <w:t>4</w:t>
            </w:r>
            <w:r w:rsidR="004B118A" w:rsidRPr="004B5CD9">
              <w:rPr>
                <w:rFonts w:ascii="Arial" w:hAnsi="Arial" w:cs="Arial"/>
                <w:color w:val="000000" w:themeColor="text1"/>
              </w:rPr>
              <w:t xml:space="preserve"> to </w:t>
            </w:r>
            <w:r w:rsidR="00DA157A" w:rsidRPr="004B5CD9">
              <w:rPr>
                <w:rFonts w:ascii="Arial" w:hAnsi="Arial" w:cs="Arial"/>
                <w:color w:val="000000" w:themeColor="text1"/>
              </w:rPr>
              <w:t>3</w:t>
            </w:r>
            <w:r w:rsidR="00F50128" w:rsidRPr="004B5CD9">
              <w:rPr>
                <w:rFonts w:ascii="Arial" w:hAnsi="Arial" w:cs="Arial"/>
                <w:color w:val="000000" w:themeColor="text1"/>
              </w:rPr>
              <w:t>1</w:t>
            </w:r>
            <w:r w:rsidR="004B118A" w:rsidRPr="004B5CD9">
              <w:rPr>
                <w:rFonts w:ascii="Arial" w:hAnsi="Arial" w:cs="Arial"/>
                <w:color w:val="000000" w:themeColor="text1"/>
              </w:rPr>
              <w:t xml:space="preserve"> </w:t>
            </w:r>
            <w:r w:rsidR="00F50128" w:rsidRPr="004B5CD9">
              <w:rPr>
                <w:rFonts w:ascii="Arial" w:hAnsi="Arial" w:cs="Arial"/>
                <w:color w:val="000000" w:themeColor="text1"/>
              </w:rPr>
              <w:t>December</w:t>
            </w:r>
            <w:r w:rsidR="004B118A" w:rsidRPr="004B5CD9">
              <w:rPr>
                <w:rFonts w:ascii="Arial" w:hAnsi="Arial" w:cs="Arial"/>
                <w:color w:val="000000" w:themeColor="text1"/>
              </w:rPr>
              <w:t xml:space="preserve"> 202</w:t>
            </w:r>
            <w:r w:rsidR="00310E85" w:rsidRPr="004B5CD9">
              <w:rPr>
                <w:rFonts w:ascii="Arial" w:hAnsi="Arial" w:cs="Arial"/>
                <w:color w:val="000000" w:themeColor="text1"/>
              </w:rPr>
              <w:t>4</w:t>
            </w:r>
            <w:r w:rsidR="004B118A" w:rsidRPr="004B5CD9">
              <w:rPr>
                <w:rFonts w:ascii="Arial" w:hAnsi="Arial" w:cs="Arial"/>
                <w:color w:val="000000" w:themeColor="text1"/>
              </w:rPr>
              <w:t xml:space="preserve"> </w:t>
            </w:r>
            <w:r w:rsidRPr="004B5CD9">
              <w:rPr>
                <w:rFonts w:ascii="Arial" w:hAnsi="Arial" w:cs="Arial"/>
                <w:color w:val="000000" w:themeColor="text1"/>
              </w:rPr>
              <w:t>reported on Datix</w:t>
            </w:r>
            <w:r w:rsidR="00970DEE" w:rsidRPr="004B5CD9">
              <w:rPr>
                <w:rFonts w:ascii="Arial" w:hAnsi="Arial" w:cs="Arial"/>
                <w:color w:val="000000" w:themeColor="text1"/>
              </w:rPr>
              <w:t>.</w:t>
            </w:r>
          </w:p>
        </w:tc>
        <w:tc>
          <w:tcPr>
            <w:tcW w:w="6946" w:type="dxa"/>
            <w:tcBorders>
              <w:top w:val="single" w:sz="8" w:space="0" w:color="auto"/>
              <w:left w:val="nil"/>
              <w:bottom w:val="single" w:sz="8" w:space="0" w:color="auto"/>
              <w:right w:val="single" w:sz="8" w:space="0" w:color="auto"/>
            </w:tcBorders>
            <w:hideMark/>
          </w:tcPr>
          <w:p w14:paraId="2270231C" w14:textId="6E76C953" w:rsidR="005679BD" w:rsidRPr="004B5CD9" w:rsidRDefault="003520ED" w:rsidP="002648B4">
            <w:pPr>
              <w:spacing w:before="120" w:after="0" w:line="240" w:lineRule="auto"/>
              <w:ind w:left="57"/>
              <w:rPr>
                <w:rFonts w:ascii="Arial" w:hAnsi="Arial" w:cs="Arial"/>
              </w:rPr>
            </w:pPr>
            <w:r w:rsidRPr="004B5CD9">
              <w:rPr>
                <w:rFonts w:ascii="Arial" w:hAnsi="Arial" w:cs="Arial"/>
              </w:rPr>
              <w:t xml:space="preserve">64 </w:t>
            </w:r>
            <w:r w:rsidR="005679BD" w:rsidRPr="004B5CD9">
              <w:rPr>
                <w:rFonts w:ascii="Arial" w:hAnsi="Arial" w:cs="Arial"/>
              </w:rPr>
              <w:t>“Unexpected deaths”</w:t>
            </w:r>
          </w:p>
          <w:p w14:paraId="42FF9CA6" w14:textId="05C4C4FF" w:rsidR="008E612A" w:rsidRPr="004B5CD9" w:rsidRDefault="002648B4" w:rsidP="002648B4">
            <w:pPr>
              <w:spacing w:before="120" w:after="0" w:line="240" w:lineRule="auto"/>
              <w:ind w:left="57"/>
              <w:rPr>
                <w:rFonts w:ascii="Arial" w:hAnsi="Arial" w:cs="Arial"/>
              </w:rPr>
            </w:pPr>
            <w:r>
              <w:rPr>
                <w:rFonts w:ascii="Arial" w:hAnsi="Arial" w:cs="Arial"/>
              </w:rPr>
              <w:t>Zero</w:t>
            </w:r>
            <w:r w:rsidR="00C35C07" w:rsidRPr="004B5CD9">
              <w:rPr>
                <w:rFonts w:ascii="Arial" w:hAnsi="Arial" w:cs="Arial"/>
              </w:rPr>
              <w:t xml:space="preserve"> </w:t>
            </w:r>
            <w:r w:rsidR="00A120A8" w:rsidRPr="004B5CD9">
              <w:rPr>
                <w:rFonts w:ascii="Arial" w:hAnsi="Arial" w:cs="Arial"/>
              </w:rPr>
              <w:t>COVID</w:t>
            </w:r>
            <w:r w:rsidR="008E612A" w:rsidRPr="004B5CD9">
              <w:rPr>
                <w:rFonts w:ascii="Arial" w:hAnsi="Arial" w:cs="Arial"/>
              </w:rPr>
              <w:t xml:space="preserve"> death</w:t>
            </w:r>
            <w:r w:rsidR="009778E9" w:rsidRPr="004B5CD9">
              <w:rPr>
                <w:rFonts w:ascii="Arial" w:hAnsi="Arial" w:cs="Arial"/>
              </w:rPr>
              <w:t>s</w:t>
            </w:r>
          </w:p>
          <w:p w14:paraId="63295DFA" w14:textId="0964C03C" w:rsidR="005679BD" w:rsidRPr="004B5CD9" w:rsidRDefault="002648B4" w:rsidP="002648B4">
            <w:pPr>
              <w:spacing w:before="120" w:after="0" w:line="240" w:lineRule="auto"/>
              <w:ind w:left="57"/>
              <w:rPr>
                <w:rFonts w:ascii="Arial" w:hAnsi="Arial" w:cs="Arial"/>
              </w:rPr>
            </w:pPr>
            <w:r>
              <w:rPr>
                <w:rFonts w:ascii="Arial" w:hAnsi="Arial" w:cs="Arial"/>
              </w:rPr>
              <w:t>Five</w:t>
            </w:r>
            <w:r w:rsidR="005679BD" w:rsidRPr="004B5CD9">
              <w:rPr>
                <w:rFonts w:ascii="Arial" w:hAnsi="Arial" w:cs="Arial"/>
              </w:rPr>
              <w:t xml:space="preserve"> “Suspected deaths”</w:t>
            </w:r>
          </w:p>
          <w:p w14:paraId="45071936" w14:textId="199CD624" w:rsidR="005679BD" w:rsidRPr="004B5CD9" w:rsidRDefault="002648B4" w:rsidP="002648B4">
            <w:pPr>
              <w:spacing w:before="120" w:after="0" w:line="240" w:lineRule="auto"/>
              <w:ind w:left="57"/>
              <w:rPr>
                <w:rFonts w:ascii="Arial" w:hAnsi="Arial" w:cs="Arial"/>
              </w:rPr>
            </w:pPr>
            <w:r>
              <w:rPr>
                <w:rFonts w:ascii="Arial" w:hAnsi="Arial" w:cs="Arial"/>
              </w:rPr>
              <w:t>Nine</w:t>
            </w:r>
            <w:r w:rsidR="00C35C07" w:rsidRPr="004B5CD9">
              <w:rPr>
                <w:rFonts w:ascii="Arial" w:hAnsi="Arial" w:cs="Arial"/>
              </w:rPr>
              <w:t xml:space="preserve"> </w:t>
            </w:r>
            <w:r w:rsidR="005679BD" w:rsidRPr="004B5CD9">
              <w:rPr>
                <w:rFonts w:ascii="Arial" w:hAnsi="Arial" w:cs="Arial"/>
              </w:rPr>
              <w:t>“Expected - end of life pathway</w:t>
            </w:r>
            <w:r w:rsidR="00FE6E43" w:rsidRPr="004B5CD9">
              <w:rPr>
                <w:rFonts w:ascii="Arial" w:hAnsi="Arial" w:cs="Arial"/>
              </w:rPr>
              <w:t>”</w:t>
            </w:r>
            <w:r>
              <w:rPr>
                <w:rFonts w:ascii="Arial" w:hAnsi="Arial" w:cs="Arial"/>
                <w:sz w:val="2"/>
              </w:rPr>
              <w:t>.</w:t>
            </w:r>
          </w:p>
          <w:p w14:paraId="57892F25" w14:textId="3198E47C" w:rsidR="003B3BFB" w:rsidRPr="004B5CD9" w:rsidRDefault="00BE5002" w:rsidP="002648B4">
            <w:pPr>
              <w:spacing w:before="120" w:after="0" w:line="240" w:lineRule="auto"/>
              <w:ind w:left="57"/>
              <w:rPr>
                <w:rFonts w:ascii="Arial" w:hAnsi="Arial" w:cs="Arial"/>
              </w:rPr>
            </w:pPr>
            <w:r w:rsidRPr="004B5CD9">
              <w:rPr>
                <w:rFonts w:ascii="Arial" w:hAnsi="Arial" w:cs="Arial"/>
              </w:rPr>
              <w:t xml:space="preserve">NB some expected deaths have been </w:t>
            </w:r>
            <w:r w:rsidR="00125CF9">
              <w:rPr>
                <w:rFonts w:ascii="Arial" w:hAnsi="Arial" w:cs="Arial"/>
              </w:rPr>
              <w:t>declined</w:t>
            </w:r>
            <w:r w:rsidRPr="004B5CD9">
              <w:rPr>
                <w:rFonts w:ascii="Arial" w:hAnsi="Arial" w:cs="Arial"/>
              </w:rPr>
              <w:t xml:space="preserve"> so these incidents are not included</w:t>
            </w:r>
            <w:r w:rsidR="00A120A8" w:rsidRPr="004B5CD9">
              <w:rPr>
                <w:rFonts w:ascii="Arial" w:hAnsi="Arial" w:cs="Arial"/>
              </w:rPr>
              <w:t xml:space="preserve"> </w:t>
            </w:r>
            <w:r w:rsidRPr="004B5CD9">
              <w:rPr>
                <w:rFonts w:ascii="Arial" w:hAnsi="Arial" w:cs="Arial"/>
              </w:rPr>
              <w:t>in the above figure</w:t>
            </w:r>
            <w:r w:rsidR="00F81EC1">
              <w:rPr>
                <w:rFonts w:ascii="Arial" w:hAnsi="Arial" w:cs="Arial"/>
              </w:rPr>
              <w:t>.</w:t>
            </w:r>
          </w:p>
          <w:p w14:paraId="0C60FF01" w14:textId="26966819" w:rsidR="00810776" w:rsidRPr="004B5CD9" w:rsidRDefault="009A678F" w:rsidP="002648B4">
            <w:pPr>
              <w:spacing w:before="120" w:after="0" w:line="240" w:lineRule="auto"/>
              <w:ind w:left="57"/>
              <w:rPr>
                <w:rFonts w:ascii="Arial" w:hAnsi="Arial" w:cs="Arial"/>
              </w:rPr>
            </w:pPr>
            <w:r w:rsidRPr="004B5CD9">
              <w:rPr>
                <w:rFonts w:ascii="Arial" w:hAnsi="Arial" w:cs="Arial"/>
              </w:rPr>
              <w:t>Four</w:t>
            </w:r>
            <w:r w:rsidR="00810776" w:rsidRPr="004B5CD9">
              <w:rPr>
                <w:rFonts w:ascii="Arial" w:hAnsi="Arial" w:cs="Arial"/>
              </w:rPr>
              <w:t xml:space="preserve"> inpatient death</w:t>
            </w:r>
            <w:r w:rsidRPr="004B5CD9">
              <w:rPr>
                <w:rFonts w:ascii="Arial" w:hAnsi="Arial" w:cs="Arial"/>
              </w:rPr>
              <w:t xml:space="preserve">s, </w:t>
            </w:r>
            <w:r w:rsidR="00365019" w:rsidRPr="004B5CD9">
              <w:rPr>
                <w:rFonts w:ascii="Arial" w:hAnsi="Arial" w:cs="Arial"/>
              </w:rPr>
              <w:t>two</w:t>
            </w:r>
            <w:r w:rsidRPr="004B5CD9">
              <w:rPr>
                <w:rFonts w:ascii="Arial" w:hAnsi="Arial" w:cs="Arial"/>
              </w:rPr>
              <w:t xml:space="preserve"> </w:t>
            </w:r>
            <w:r w:rsidR="00810776" w:rsidRPr="004B5CD9">
              <w:rPr>
                <w:rFonts w:ascii="Arial" w:hAnsi="Arial" w:cs="Arial"/>
              </w:rPr>
              <w:t>expected – end of life</w:t>
            </w:r>
            <w:r w:rsidR="00365019" w:rsidRPr="004B5CD9">
              <w:rPr>
                <w:rFonts w:ascii="Arial" w:hAnsi="Arial" w:cs="Arial"/>
              </w:rPr>
              <w:t xml:space="preserve">, </w:t>
            </w:r>
            <w:r w:rsidR="00810776" w:rsidRPr="004B5CD9">
              <w:rPr>
                <w:rFonts w:ascii="Arial" w:hAnsi="Arial" w:cs="Arial"/>
              </w:rPr>
              <w:t>one inpatient death (</w:t>
            </w:r>
            <w:r w:rsidR="00055F32" w:rsidRPr="004B5CD9">
              <w:rPr>
                <w:rFonts w:ascii="Arial" w:hAnsi="Arial" w:cs="Arial"/>
              </w:rPr>
              <w:t>overdose in the community prior to admission</w:t>
            </w:r>
            <w:r w:rsidR="00810776" w:rsidRPr="004B5CD9">
              <w:rPr>
                <w:rFonts w:ascii="Arial" w:hAnsi="Arial" w:cs="Arial"/>
              </w:rPr>
              <w:t>) died following transfer to the acute hospital for further treatment</w:t>
            </w:r>
            <w:r w:rsidR="00365019" w:rsidRPr="004B5CD9">
              <w:rPr>
                <w:rFonts w:ascii="Arial" w:hAnsi="Arial" w:cs="Arial"/>
              </w:rPr>
              <w:t xml:space="preserve"> and one </w:t>
            </w:r>
            <w:r w:rsidR="007E7AAB" w:rsidRPr="004B5CD9">
              <w:rPr>
                <w:rFonts w:ascii="Arial" w:hAnsi="Arial" w:cs="Arial"/>
              </w:rPr>
              <w:t xml:space="preserve">unexpected </w:t>
            </w:r>
            <w:r w:rsidR="00EB3BFB" w:rsidRPr="004B5CD9">
              <w:rPr>
                <w:rFonts w:ascii="Arial" w:hAnsi="Arial" w:cs="Arial"/>
              </w:rPr>
              <w:t xml:space="preserve">death </w:t>
            </w:r>
            <w:r w:rsidR="007E7AAB" w:rsidRPr="004B5CD9">
              <w:rPr>
                <w:rFonts w:ascii="Arial" w:hAnsi="Arial" w:cs="Arial"/>
              </w:rPr>
              <w:t>on section 17 leave</w:t>
            </w:r>
            <w:r w:rsidR="00810776" w:rsidRPr="004B5CD9">
              <w:rPr>
                <w:rFonts w:ascii="Arial" w:hAnsi="Arial" w:cs="Arial"/>
              </w:rPr>
              <w:t>.</w:t>
            </w:r>
          </w:p>
          <w:p w14:paraId="22C9FC39" w14:textId="56F73285" w:rsidR="007E7AAB" w:rsidRPr="004B5CD9" w:rsidRDefault="00541F3C" w:rsidP="002648B4">
            <w:pPr>
              <w:spacing w:before="120" w:after="0" w:line="240" w:lineRule="auto"/>
              <w:ind w:left="57"/>
              <w:rPr>
                <w:rFonts w:ascii="Arial" w:hAnsi="Arial" w:cs="Arial"/>
                <w:i/>
                <w:iCs/>
                <w:highlight w:val="yellow"/>
              </w:rPr>
            </w:pPr>
            <w:r w:rsidRPr="004B5CD9">
              <w:rPr>
                <w:rFonts w:ascii="Arial" w:hAnsi="Arial" w:cs="Arial"/>
                <w:i/>
                <w:iCs/>
              </w:rPr>
              <w:t>(W102211, W102539, W102579 and W100765)</w:t>
            </w:r>
          </w:p>
        </w:tc>
      </w:tr>
      <w:tr w:rsidR="005679BD" w:rsidRPr="004B5CD9" w14:paraId="3CAE6958" w14:textId="77777777" w:rsidTr="00E1635A">
        <w:trPr>
          <w:trHeight w:val="594"/>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476" w14:textId="1976BBD7" w:rsidR="005679BD" w:rsidRPr="004B5CD9" w:rsidRDefault="005679BD" w:rsidP="002648B4">
            <w:pPr>
              <w:spacing w:before="120" w:after="0" w:line="240" w:lineRule="auto"/>
              <w:rPr>
                <w:rFonts w:ascii="Arial" w:hAnsi="Arial" w:cs="Arial"/>
              </w:rPr>
            </w:pPr>
            <w:r w:rsidRPr="004B5CD9">
              <w:rPr>
                <w:rFonts w:ascii="Arial" w:hAnsi="Arial" w:cs="Arial"/>
                <w:color w:val="000000"/>
              </w:rPr>
              <w:t>Incidents assigned for a review</w:t>
            </w:r>
            <w:r w:rsidR="00970DEE" w:rsidRPr="004B5CD9">
              <w:rPr>
                <w:rFonts w:ascii="Arial" w:hAnsi="Arial" w:cs="Arial"/>
                <w:color w:val="000000"/>
              </w:rPr>
              <w:t>.</w:t>
            </w:r>
          </w:p>
        </w:tc>
        <w:tc>
          <w:tcPr>
            <w:tcW w:w="6946" w:type="dxa"/>
            <w:tcBorders>
              <w:top w:val="nil"/>
              <w:left w:val="nil"/>
              <w:bottom w:val="single" w:sz="8" w:space="0" w:color="auto"/>
              <w:right w:val="single" w:sz="8" w:space="0" w:color="auto"/>
            </w:tcBorders>
            <w:hideMark/>
          </w:tcPr>
          <w:p w14:paraId="25BC1CED" w14:textId="3386E1F5" w:rsidR="005679BD" w:rsidRPr="004B5CD9" w:rsidRDefault="00AD5D93" w:rsidP="002648B4">
            <w:pPr>
              <w:spacing w:before="120" w:after="0" w:line="240" w:lineRule="auto"/>
              <w:ind w:left="57"/>
              <w:rPr>
                <w:rFonts w:ascii="Arial" w:hAnsi="Arial" w:cs="Arial"/>
              </w:rPr>
            </w:pPr>
            <w:r w:rsidRPr="004B5CD9">
              <w:rPr>
                <w:rFonts w:ascii="Arial" w:hAnsi="Arial" w:cs="Arial"/>
              </w:rPr>
              <w:t xml:space="preserve">72 </w:t>
            </w:r>
            <w:r w:rsidR="006D48E0" w:rsidRPr="004B5CD9">
              <w:rPr>
                <w:rFonts w:ascii="Arial" w:hAnsi="Arial" w:cs="Arial"/>
              </w:rPr>
              <w:t>incidents assigned to the operational incident group</w:t>
            </w:r>
            <w:r w:rsidR="00474B1E" w:rsidRPr="004B5CD9">
              <w:rPr>
                <w:rFonts w:ascii="Arial" w:hAnsi="Arial" w:cs="Arial"/>
              </w:rPr>
              <w:t>.</w:t>
            </w:r>
          </w:p>
        </w:tc>
      </w:tr>
    </w:tbl>
    <w:p w14:paraId="23A30A21" w14:textId="77777777" w:rsidR="00FE6E43" w:rsidRPr="004B5CD9" w:rsidRDefault="00FE6E43" w:rsidP="002648B4">
      <w:pPr>
        <w:spacing w:before="120" w:after="0" w:line="240" w:lineRule="auto"/>
        <w:contextualSpacing/>
        <w:rPr>
          <w:rFonts w:ascii="Arial" w:hAnsi="Arial" w:cs="Arial"/>
        </w:rPr>
      </w:pPr>
    </w:p>
    <w:p w14:paraId="03DB298B" w14:textId="7DEEE8C6" w:rsidR="00AD4545" w:rsidRPr="004B5CD9" w:rsidRDefault="005E149E" w:rsidP="004B5CD9">
      <w:pPr>
        <w:spacing w:after="0" w:line="240" w:lineRule="auto"/>
        <w:contextualSpacing/>
        <w:rPr>
          <w:rFonts w:ascii="Arial" w:hAnsi="Arial" w:cs="Arial"/>
        </w:rPr>
      </w:pPr>
      <w:r w:rsidRPr="004B5CD9">
        <w:rPr>
          <w:rFonts w:ascii="Arial" w:hAnsi="Arial" w:cs="Arial"/>
        </w:rPr>
        <w:t xml:space="preserve">Only deaths which meet the criteria below are reported through the Trust incident reporting system (Datix) and these are also reviewed using the process of the </w:t>
      </w:r>
      <w:r w:rsidRPr="004B5CD9">
        <w:rPr>
          <w:rFonts w:ascii="Arial" w:hAnsi="Arial" w:cs="Arial"/>
          <w:i/>
        </w:rPr>
        <w:t>Untoward Incident Reporting and Investigation Policy and Procedure</w:t>
      </w:r>
      <w:r w:rsidR="00AD4545" w:rsidRPr="004B5CD9">
        <w:rPr>
          <w:rFonts w:ascii="Arial" w:hAnsi="Arial" w:cs="Arial"/>
          <w:i/>
        </w:rPr>
        <w:t>.</w:t>
      </w:r>
    </w:p>
    <w:p w14:paraId="79556BC0" w14:textId="77777777" w:rsidR="00474B1E" w:rsidRPr="004B5CD9" w:rsidRDefault="00474B1E" w:rsidP="004B5CD9">
      <w:pPr>
        <w:spacing w:after="0" w:line="240" w:lineRule="auto"/>
        <w:contextualSpacing/>
        <w:rPr>
          <w:rFonts w:ascii="Arial" w:hAnsi="Arial" w:cs="Arial"/>
        </w:rPr>
      </w:pPr>
    </w:p>
    <w:p w14:paraId="639A37E3" w14:textId="11C979E1" w:rsidR="005E149E" w:rsidRDefault="00AD4545" w:rsidP="004B5CD9">
      <w:pPr>
        <w:spacing w:after="0" w:line="240" w:lineRule="auto"/>
        <w:contextualSpacing/>
        <w:rPr>
          <w:rFonts w:ascii="Arial" w:eastAsia="Times New Roman" w:hAnsi="Arial" w:cs="Arial"/>
          <w:bCs/>
        </w:rPr>
      </w:pPr>
      <w:r w:rsidRPr="004B5CD9">
        <w:rPr>
          <w:rFonts w:ascii="Arial" w:hAnsi="Arial" w:cs="Arial"/>
        </w:rPr>
        <w:t>A</w:t>
      </w:r>
      <w:r w:rsidR="005E149E" w:rsidRPr="004B5CD9">
        <w:rPr>
          <w:rFonts w:ascii="Arial" w:eastAsia="Times New Roman" w:hAnsi="Arial" w:cs="Arial"/>
          <w:bCs/>
        </w:rPr>
        <w:t>ny patient</w:t>
      </w:r>
      <w:r w:rsidR="00291F45" w:rsidRPr="004B5CD9">
        <w:rPr>
          <w:rFonts w:ascii="Arial" w:eastAsia="Times New Roman" w:hAnsi="Arial" w:cs="Arial"/>
          <w:bCs/>
        </w:rPr>
        <w:t>,</w:t>
      </w:r>
      <w:r w:rsidR="005E149E" w:rsidRPr="004B5CD9">
        <w:rPr>
          <w:rFonts w:ascii="Arial" w:eastAsia="Times New Roman" w:hAnsi="Arial" w:cs="Arial"/>
          <w:bCs/>
        </w:rPr>
        <w:t xml:space="preserve"> open to services within the last six months</w:t>
      </w:r>
      <w:r w:rsidR="00291F45" w:rsidRPr="004B5CD9">
        <w:rPr>
          <w:rFonts w:ascii="Arial" w:eastAsia="Times New Roman" w:hAnsi="Arial" w:cs="Arial"/>
          <w:bCs/>
        </w:rPr>
        <w:t>,</w:t>
      </w:r>
      <w:r w:rsidR="005E149E" w:rsidRPr="004B5CD9">
        <w:rPr>
          <w:rFonts w:ascii="Arial" w:eastAsia="Times New Roman" w:hAnsi="Arial" w:cs="Arial"/>
          <w:bCs/>
        </w:rPr>
        <w:t xml:space="preserve"> who has died, and meets the following:</w:t>
      </w:r>
    </w:p>
    <w:p w14:paraId="550336C7" w14:textId="77777777" w:rsidR="00F81EC1" w:rsidRPr="004B5CD9" w:rsidRDefault="00F81EC1" w:rsidP="004B5CD9">
      <w:pPr>
        <w:spacing w:after="0" w:line="240" w:lineRule="auto"/>
        <w:contextualSpacing/>
        <w:rPr>
          <w:rFonts w:ascii="Arial" w:eastAsia="Times New Roman" w:hAnsi="Arial" w:cs="Arial"/>
          <w:bCs/>
        </w:rPr>
      </w:pPr>
    </w:p>
    <w:p w14:paraId="0D2FB88C" w14:textId="77777777"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Homicide – perpetrator or victim</w:t>
      </w:r>
    </w:p>
    <w:p w14:paraId="7AC78A4E" w14:textId="5164F388"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Domestic homicide - perpetrator or victim</w:t>
      </w:r>
    </w:p>
    <w:p w14:paraId="5411BC0F" w14:textId="188F62AC"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Suicide/self-inflicted death, or suspected suicide</w:t>
      </w:r>
      <w:r w:rsidR="00BC4DBA">
        <w:rPr>
          <w:rFonts w:ascii="Arial" w:hAnsi="Arial" w:cs="Arial"/>
          <w:sz w:val="2"/>
        </w:rPr>
        <w:t>.</w:t>
      </w:r>
    </w:p>
    <w:p w14:paraId="476870AD" w14:textId="41E2B1B6"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following overdose</w:t>
      </w:r>
      <w:r w:rsidR="00BC4DBA">
        <w:rPr>
          <w:rFonts w:ascii="Arial" w:hAnsi="Arial" w:cs="Arial"/>
          <w:sz w:val="2"/>
        </w:rPr>
        <w:t>.</w:t>
      </w:r>
    </w:p>
    <w:p w14:paraId="0CB785E7" w14:textId="77777777"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whilst an inpatient</w:t>
      </w:r>
    </w:p>
    <w:p w14:paraId="7798955A" w14:textId="0ABFD3B0"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an inpatient who died within 30 days of discharge from a DH</w:t>
      </w:r>
      <w:r w:rsidR="00823853" w:rsidRPr="004B5CD9">
        <w:rPr>
          <w:rFonts w:ascii="Arial" w:eastAsia="Times New Roman" w:hAnsi="Arial" w:cs="Arial"/>
          <w:bCs/>
        </w:rPr>
        <w:t>c</w:t>
      </w:r>
      <w:r w:rsidRPr="004B5CD9">
        <w:rPr>
          <w:rFonts w:ascii="Arial" w:eastAsia="Times New Roman" w:hAnsi="Arial" w:cs="Arial"/>
          <w:bCs/>
        </w:rPr>
        <w:t>FT hospital</w:t>
      </w:r>
      <w:r w:rsidR="0026408E">
        <w:rPr>
          <w:rFonts w:ascii="Arial" w:hAnsi="Arial" w:cs="Arial"/>
          <w:sz w:val="2"/>
        </w:rPr>
        <w:t>.</w:t>
      </w:r>
    </w:p>
    <w:p w14:paraId="33A6A4DE" w14:textId="41564840"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following an inpatient transfer to acute hospital</w:t>
      </w:r>
      <w:r w:rsidR="0026408E">
        <w:rPr>
          <w:rFonts w:ascii="Arial" w:hAnsi="Arial" w:cs="Arial"/>
          <w:sz w:val="2"/>
        </w:rPr>
        <w:t>.</w:t>
      </w:r>
    </w:p>
    <w:p w14:paraId="1B0FA634" w14:textId="77777777"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patient on a Section of the Mental Health Act or Deprivation of Liberty Safeguards (DoLs) authorisation</w:t>
      </w:r>
    </w:p>
    <w:p w14:paraId="4267CC4B" w14:textId="77777777"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patient following absconsion from an inpatient unit</w:t>
      </w:r>
    </w:p>
    <w:p w14:paraId="231523F4" w14:textId="7D3A6C2A"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following a physical restraint</w:t>
      </w:r>
      <w:r w:rsidR="0026408E">
        <w:rPr>
          <w:rFonts w:ascii="Arial" w:hAnsi="Arial" w:cs="Arial"/>
          <w:sz w:val="2"/>
        </w:rPr>
        <w:t>.</w:t>
      </w:r>
    </w:p>
    <w:p w14:paraId="7D10FEC9" w14:textId="2FA5B09A"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 patient with a learning disability</w:t>
      </w:r>
    </w:p>
    <w:p w14:paraId="100B593D" w14:textId="09821426"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 patient where there has been a complaint by family/carer the Ombudsman, or where staff have raised a significant concern about the quality</w:t>
      </w:r>
      <w:r w:rsidR="006A768E" w:rsidRPr="004B5CD9">
        <w:rPr>
          <w:rFonts w:ascii="Arial" w:eastAsia="Times New Roman" w:hAnsi="Arial" w:cs="Arial"/>
          <w:bCs/>
        </w:rPr>
        <w:t>-</w:t>
      </w:r>
      <w:r w:rsidRPr="004B5CD9">
        <w:rPr>
          <w:rFonts w:ascii="Arial" w:eastAsia="Times New Roman" w:hAnsi="Arial" w:cs="Arial"/>
          <w:bCs/>
        </w:rPr>
        <w:t>of</w:t>
      </w:r>
      <w:r w:rsidR="006A768E" w:rsidRPr="004B5CD9">
        <w:rPr>
          <w:rFonts w:ascii="Arial" w:eastAsia="Times New Roman" w:hAnsi="Arial" w:cs="Arial"/>
          <w:bCs/>
        </w:rPr>
        <w:t>-</w:t>
      </w:r>
      <w:r w:rsidRPr="004B5CD9">
        <w:rPr>
          <w:rFonts w:ascii="Arial" w:eastAsia="Times New Roman" w:hAnsi="Arial" w:cs="Arial"/>
          <w:bCs/>
        </w:rPr>
        <w:t>care provision</w:t>
      </w:r>
      <w:r w:rsidR="006A768E" w:rsidRPr="004B5CD9">
        <w:rPr>
          <w:rFonts w:ascii="Arial" w:eastAsia="Times New Roman" w:hAnsi="Arial" w:cs="Arial"/>
          <w:bCs/>
        </w:rPr>
        <w:t>.</w:t>
      </w:r>
    </w:p>
    <w:p w14:paraId="1E6B2226" w14:textId="5E4BBA5D"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 child (this will also be subject to scrutiny by the Child Death Overview Panel)</w:t>
      </w:r>
    </w:p>
    <w:p w14:paraId="0F09CCFF" w14:textId="5636D31D"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 patient open to safeguarding procedures at the time of death, which could be related to the death</w:t>
      </w:r>
      <w:r w:rsidR="0026408E">
        <w:rPr>
          <w:rFonts w:ascii="Arial" w:hAnsi="Arial" w:cs="Arial"/>
          <w:sz w:val="2"/>
        </w:rPr>
        <w:t>.</w:t>
      </w:r>
    </w:p>
    <w:p w14:paraId="060A072A" w14:textId="7972E4D5"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 patient with historical safeguarding concerns, which could be related to the death</w:t>
      </w:r>
      <w:r w:rsidR="0026408E">
        <w:rPr>
          <w:rFonts w:ascii="Arial" w:hAnsi="Arial" w:cs="Arial"/>
          <w:sz w:val="2"/>
        </w:rPr>
        <w:t>.</w:t>
      </w:r>
    </w:p>
    <w:p w14:paraId="49C19665" w14:textId="104DE8BD"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where a previous Coroners Regulation 28 has been issued</w:t>
      </w:r>
      <w:r w:rsidR="0026408E">
        <w:rPr>
          <w:rFonts w:ascii="Arial" w:hAnsi="Arial" w:cs="Arial"/>
          <w:sz w:val="2"/>
        </w:rPr>
        <w:t>.</w:t>
      </w:r>
    </w:p>
    <w:p w14:paraId="22B38D1D" w14:textId="77777777"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 staff member whilst on duty</w:t>
      </w:r>
    </w:p>
    <w:p w14:paraId="5D396501" w14:textId="6D24DCCA"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Death of a child under the age of 18 of a current or previous service user who has died in suspicious circumstances</w:t>
      </w:r>
      <w:r w:rsidR="0026408E">
        <w:rPr>
          <w:rFonts w:ascii="Arial" w:hAnsi="Arial" w:cs="Arial"/>
          <w:sz w:val="2"/>
        </w:rPr>
        <w:t>.</w:t>
      </w:r>
    </w:p>
    <w:p w14:paraId="7DE4BE89" w14:textId="70CF8C2C" w:rsidR="005E149E" w:rsidRPr="004B5CD9" w:rsidRDefault="005E149E" w:rsidP="00BC4DBA">
      <w:pPr>
        <w:pStyle w:val="ListParagraph"/>
        <w:numPr>
          <w:ilvl w:val="0"/>
          <w:numId w:val="18"/>
        </w:numPr>
        <w:spacing w:after="0" w:line="240" w:lineRule="auto"/>
        <w:ind w:left="454" w:hanging="454"/>
        <w:rPr>
          <w:rFonts w:ascii="Arial" w:eastAsia="Times New Roman" w:hAnsi="Arial" w:cs="Arial"/>
          <w:bCs/>
        </w:rPr>
      </w:pPr>
      <w:r w:rsidRPr="004B5CD9">
        <w:rPr>
          <w:rFonts w:ascii="Arial" w:eastAsia="Times New Roman" w:hAnsi="Arial" w:cs="Arial"/>
          <w:bCs/>
        </w:rPr>
        <w:t>Where an external organisation has highlighted concerns following the death of a patient whether they were open to the Trust at time of death or not</w:t>
      </w:r>
      <w:r w:rsidR="0026408E">
        <w:rPr>
          <w:rFonts w:ascii="Arial" w:hAnsi="Arial" w:cs="Arial"/>
          <w:sz w:val="2"/>
        </w:rPr>
        <w:t>.</w:t>
      </w:r>
    </w:p>
    <w:p w14:paraId="3771B39B" w14:textId="6F725C96" w:rsidR="006D1140" w:rsidRPr="004B5CD9" w:rsidRDefault="00615C8C" w:rsidP="00BC4DBA">
      <w:pPr>
        <w:pStyle w:val="ListParagraph"/>
        <w:numPr>
          <w:ilvl w:val="0"/>
          <w:numId w:val="18"/>
        </w:numPr>
        <w:spacing w:after="0" w:line="240" w:lineRule="auto"/>
        <w:ind w:left="454" w:hanging="454"/>
        <w:rPr>
          <w:rFonts w:ascii="Arial" w:eastAsia="Arial" w:hAnsi="Arial" w:cs="Arial"/>
          <w:iCs/>
        </w:rPr>
      </w:pPr>
      <w:r w:rsidRPr="004B5CD9">
        <w:rPr>
          <w:rFonts w:ascii="Arial" w:eastAsia="Arial" w:hAnsi="Arial" w:cs="Arial"/>
          <w:iCs/>
        </w:rPr>
        <w:t xml:space="preserve">Death of a patient with </w:t>
      </w:r>
      <w:r w:rsidR="006D1140" w:rsidRPr="004B5CD9">
        <w:rPr>
          <w:rFonts w:ascii="Arial" w:eastAsia="Arial" w:hAnsi="Arial" w:cs="Arial"/>
          <w:iCs/>
        </w:rPr>
        <w:t>Autism</w:t>
      </w:r>
    </w:p>
    <w:p w14:paraId="465F79C5" w14:textId="28F7AD56" w:rsidR="00BA50F9" w:rsidRPr="004B5CD9" w:rsidRDefault="00615C8C" w:rsidP="00BC4DBA">
      <w:pPr>
        <w:pStyle w:val="ListParagraph"/>
        <w:numPr>
          <w:ilvl w:val="0"/>
          <w:numId w:val="18"/>
        </w:numPr>
        <w:spacing w:after="0" w:line="240" w:lineRule="auto"/>
        <w:ind w:left="454" w:hanging="454"/>
        <w:rPr>
          <w:rFonts w:ascii="Arial" w:eastAsia="Arial" w:hAnsi="Arial" w:cs="Arial"/>
          <w:iCs/>
        </w:rPr>
      </w:pPr>
      <w:r w:rsidRPr="004B5CD9">
        <w:rPr>
          <w:rFonts w:ascii="Arial" w:eastAsia="Arial" w:hAnsi="Arial" w:cs="Arial"/>
          <w:iCs/>
        </w:rPr>
        <w:t>Death of a p</w:t>
      </w:r>
      <w:r w:rsidR="006D1140" w:rsidRPr="004B5CD9">
        <w:rPr>
          <w:rFonts w:ascii="Arial" w:eastAsia="Arial" w:hAnsi="Arial" w:cs="Arial"/>
          <w:iCs/>
        </w:rPr>
        <w:t xml:space="preserve">atients </w:t>
      </w:r>
      <w:r w:rsidR="006B76C2" w:rsidRPr="004B5CD9">
        <w:rPr>
          <w:rFonts w:ascii="Arial" w:eastAsia="Arial" w:hAnsi="Arial" w:cs="Arial"/>
          <w:iCs/>
        </w:rPr>
        <w:t xml:space="preserve">who had a diagnosis </w:t>
      </w:r>
      <w:r w:rsidR="00CD5A46" w:rsidRPr="004B5CD9">
        <w:rPr>
          <w:rFonts w:ascii="Arial" w:eastAsia="Arial" w:hAnsi="Arial" w:cs="Arial"/>
          <w:iCs/>
        </w:rPr>
        <w:t>of psychosis</w:t>
      </w:r>
      <w:r w:rsidR="006B76C2" w:rsidRPr="004B5CD9">
        <w:rPr>
          <w:rFonts w:ascii="Arial" w:eastAsia="Arial" w:hAnsi="Arial" w:cs="Arial"/>
          <w:iCs/>
        </w:rPr>
        <w:t xml:space="preserve"> within the last episode of care</w:t>
      </w:r>
      <w:r w:rsidR="004E7E68">
        <w:rPr>
          <w:rFonts w:ascii="Arial" w:eastAsia="Arial" w:hAnsi="Arial" w:cs="Arial"/>
          <w:iCs/>
        </w:rPr>
        <w:t>.</w:t>
      </w:r>
    </w:p>
    <w:p w14:paraId="49EB542D" w14:textId="77777777" w:rsidR="00BA50F9" w:rsidRPr="004B5CD9" w:rsidRDefault="00BA50F9" w:rsidP="004B5CD9">
      <w:pPr>
        <w:spacing w:after="0" w:line="240" w:lineRule="auto"/>
        <w:rPr>
          <w:rFonts w:ascii="Arial" w:hAnsi="Arial" w:cs="Arial"/>
          <w:bCs/>
        </w:rPr>
      </w:pPr>
    </w:p>
    <w:p w14:paraId="6BF8B33D" w14:textId="25538C21" w:rsidR="005E149E" w:rsidRPr="004B5CD9" w:rsidRDefault="00BA50F9" w:rsidP="004B5CD9">
      <w:pPr>
        <w:spacing w:after="0" w:line="240" w:lineRule="auto"/>
        <w:rPr>
          <w:rFonts w:ascii="Arial" w:eastAsia="Arial" w:hAnsi="Arial" w:cs="Arial"/>
          <w:iCs/>
        </w:rPr>
      </w:pPr>
      <w:r w:rsidRPr="004B5CD9">
        <w:rPr>
          <w:rFonts w:ascii="Arial" w:hAnsi="Arial" w:cs="Arial"/>
          <w:b/>
        </w:rPr>
        <w:t xml:space="preserve">5. </w:t>
      </w:r>
      <w:r w:rsidR="005E149E" w:rsidRPr="004B5CD9">
        <w:rPr>
          <w:rFonts w:ascii="Arial" w:hAnsi="Arial" w:cs="Arial"/>
          <w:b/>
        </w:rPr>
        <w:t>Learning from Deaths Procedure</w:t>
      </w:r>
    </w:p>
    <w:p w14:paraId="73353E93" w14:textId="77777777" w:rsidR="00BB427D" w:rsidRPr="004B5CD9" w:rsidRDefault="00BB427D" w:rsidP="004B5CD9">
      <w:pPr>
        <w:spacing w:after="0" w:line="240" w:lineRule="auto"/>
        <w:rPr>
          <w:rFonts w:ascii="Arial" w:hAnsi="Arial" w:cs="Arial"/>
          <w:bCs/>
        </w:rPr>
      </w:pPr>
    </w:p>
    <w:p w14:paraId="4A9EF78A" w14:textId="77777777" w:rsidR="009B5FB2" w:rsidRDefault="001713F4" w:rsidP="004B5CD9">
      <w:pPr>
        <w:spacing w:after="0" w:line="240" w:lineRule="auto"/>
        <w:rPr>
          <w:rFonts w:ascii="Arial" w:hAnsi="Arial" w:cs="Arial"/>
        </w:rPr>
      </w:pPr>
      <w:bookmarkStart w:id="0" w:name="_Hlk94174495"/>
      <w:r w:rsidRPr="004B5CD9">
        <w:rPr>
          <w:rFonts w:ascii="Arial" w:hAnsi="Arial" w:cs="Arial"/>
        </w:rPr>
        <w:t>The Trust has now completed a move in terms of its mortality process</w:t>
      </w:r>
      <w:r w:rsidR="37BF76C7" w:rsidRPr="004B5CD9">
        <w:rPr>
          <w:rFonts w:ascii="Arial" w:hAnsi="Arial" w:cs="Arial"/>
        </w:rPr>
        <w:t>, a</w:t>
      </w:r>
      <w:r w:rsidR="006D4069" w:rsidRPr="004B5CD9">
        <w:rPr>
          <w:rFonts w:ascii="Arial" w:hAnsi="Arial" w:cs="Arial"/>
        </w:rPr>
        <w:t xml:space="preserve"> </w:t>
      </w:r>
      <w:r w:rsidRPr="004B5CD9">
        <w:rPr>
          <w:rFonts w:ascii="Arial" w:hAnsi="Arial" w:cs="Arial"/>
        </w:rPr>
        <w:t>process has been implemented within the patient Electronic Record which aids staff in identifying deaths which meet the threshold for DATIX reporting. This process fulfils stage one of the Learning from Deaths in that all deaths are considered for Red Flags as identified under the national Learning from Deaths procedure.</w:t>
      </w:r>
    </w:p>
    <w:p w14:paraId="7C2C3EFF" w14:textId="4749B5E5" w:rsidR="001713F4" w:rsidRPr="004B5CD9" w:rsidRDefault="009B5FB2" w:rsidP="00CF1642">
      <w:pPr>
        <w:spacing w:after="0"/>
        <w:rPr>
          <w:rFonts w:ascii="Arial" w:hAnsi="Arial" w:cs="Arial"/>
        </w:rPr>
      </w:pPr>
      <w:r>
        <w:rPr>
          <w:rFonts w:ascii="Arial" w:hAnsi="Arial" w:cs="Arial"/>
        </w:rPr>
        <w:br w:type="page"/>
      </w:r>
      <w:r w:rsidR="001713F4" w:rsidRPr="004B5CD9">
        <w:rPr>
          <w:rFonts w:ascii="Arial" w:hAnsi="Arial" w:cs="Arial"/>
        </w:rPr>
        <w:lastRenderedPageBreak/>
        <w:t>This is a significant improvement in process and will release some capacity within the service to re-deploy into other priorities such as actions and high-profile incident management. The plan will also allow for more joined up working with Corporate and Legal services</w:t>
      </w:r>
      <w:r w:rsidR="006B7312" w:rsidRPr="004B5CD9">
        <w:rPr>
          <w:rFonts w:ascii="Arial" w:hAnsi="Arial" w:cs="Arial"/>
        </w:rPr>
        <w:t>,</w:t>
      </w:r>
      <w:r w:rsidR="001713F4" w:rsidRPr="004B5CD9">
        <w:rPr>
          <w:rFonts w:ascii="Arial" w:hAnsi="Arial" w:cs="Arial"/>
        </w:rPr>
        <w:t xml:space="preserve"> ensuring better sharing of information and identification of priorities for both services.</w:t>
      </w:r>
    </w:p>
    <w:p w14:paraId="4E2BCA42" w14:textId="77777777" w:rsidR="001713F4" w:rsidRPr="004B5CD9" w:rsidRDefault="001713F4" w:rsidP="00CF1642">
      <w:pPr>
        <w:spacing w:after="0" w:line="240" w:lineRule="auto"/>
        <w:rPr>
          <w:rFonts w:ascii="Arial" w:hAnsi="Arial" w:cs="Arial"/>
        </w:rPr>
      </w:pPr>
    </w:p>
    <w:p w14:paraId="70086AC4" w14:textId="0A053756" w:rsidR="006B7312" w:rsidRPr="004B5CD9" w:rsidRDefault="00574173" w:rsidP="00CF1642">
      <w:pPr>
        <w:spacing w:after="0" w:line="240" w:lineRule="auto"/>
        <w:rPr>
          <w:rFonts w:ascii="Arial" w:hAnsi="Arial" w:cs="Arial"/>
        </w:rPr>
      </w:pPr>
      <w:r w:rsidRPr="004B5CD9">
        <w:rPr>
          <w:rFonts w:ascii="Arial" w:hAnsi="Arial" w:cs="Arial"/>
        </w:rPr>
        <w:t>There is a process for weekly</w:t>
      </w:r>
      <w:r w:rsidR="00D160DB">
        <w:rPr>
          <w:rFonts w:ascii="Arial" w:hAnsi="Arial" w:cs="Arial"/>
        </w:rPr>
        <w:t>,</w:t>
      </w:r>
      <w:r w:rsidRPr="004B5CD9">
        <w:rPr>
          <w:rFonts w:ascii="Arial" w:hAnsi="Arial" w:cs="Arial"/>
        </w:rPr>
        <w:t xml:space="preserve"> random audits </w:t>
      </w:r>
      <w:r w:rsidR="00E30F75" w:rsidRPr="004B5CD9">
        <w:rPr>
          <w:rFonts w:ascii="Arial" w:hAnsi="Arial" w:cs="Arial"/>
        </w:rPr>
        <w:t>of deaths against the Red Flags</w:t>
      </w:r>
      <w:r w:rsidR="009B6828" w:rsidRPr="004B5CD9">
        <w:rPr>
          <w:rFonts w:ascii="Arial" w:hAnsi="Arial" w:cs="Arial"/>
        </w:rPr>
        <w:t xml:space="preserve"> to provide assurance that the new process is working as intended</w:t>
      </w:r>
      <w:r w:rsidR="00D160DB">
        <w:rPr>
          <w:rFonts w:ascii="Arial" w:hAnsi="Arial" w:cs="Arial"/>
        </w:rPr>
        <w:t>. H</w:t>
      </w:r>
      <w:r w:rsidRPr="004B5CD9">
        <w:rPr>
          <w:rFonts w:ascii="Arial" w:hAnsi="Arial" w:cs="Arial"/>
        </w:rPr>
        <w:t>owever</w:t>
      </w:r>
      <w:r w:rsidR="00D160DB">
        <w:rPr>
          <w:rFonts w:ascii="Arial" w:hAnsi="Arial" w:cs="Arial"/>
        </w:rPr>
        <w:t>,</w:t>
      </w:r>
      <w:r w:rsidRPr="004B5CD9">
        <w:rPr>
          <w:rFonts w:ascii="Arial" w:hAnsi="Arial" w:cs="Arial"/>
        </w:rPr>
        <w:t xml:space="preserve"> this has been impacted by long term sickness over recent weeks however a plan is in place to address this.</w:t>
      </w:r>
    </w:p>
    <w:p w14:paraId="07D4DD95" w14:textId="77777777" w:rsidR="00666799" w:rsidRPr="004B5CD9" w:rsidRDefault="00666799" w:rsidP="004B5CD9">
      <w:pPr>
        <w:spacing w:after="0" w:line="240" w:lineRule="auto"/>
        <w:rPr>
          <w:rFonts w:ascii="Arial" w:hAnsi="Arial" w:cs="Arial"/>
        </w:rPr>
      </w:pPr>
    </w:p>
    <w:bookmarkEnd w:id="0"/>
    <w:p w14:paraId="26158C6C" w14:textId="49947C46" w:rsidR="005E149E" w:rsidRPr="004B5CD9" w:rsidRDefault="005E149E" w:rsidP="004B5CD9">
      <w:pPr>
        <w:spacing w:after="0" w:line="240" w:lineRule="auto"/>
        <w:ind w:left="454" w:hanging="454"/>
        <w:rPr>
          <w:rFonts w:ascii="Arial" w:hAnsi="Arial" w:cs="Arial"/>
          <w:b/>
          <w:bCs/>
        </w:rPr>
      </w:pPr>
      <w:r w:rsidRPr="004B5CD9">
        <w:rPr>
          <w:rFonts w:ascii="Arial" w:hAnsi="Arial" w:cs="Arial"/>
          <w:b/>
          <w:bCs/>
        </w:rPr>
        <w:t>6.</w:t>
      </w:r>
      <w:r w:rsidRPr="004B5CD9">
        <w:rPr>
          <w:rFonts w:ascii="Arial" w:hAnsi="Arial" w:cs="Arial"/>
          <w:b/>
          <w:bCs/>
        </w:rPr>
        <w:tab/>
        <w:t>Analysis of Data</w:t>
      </w:r>
    </w:p>
    <w:p w14:paraId="37DAB7D3" w14:textId="77777777" w:rsidR="008D2CE6" w:rsidRPr="004B5CD9" w:rsidRDefault="008D2CE6" w:rsidP="004B5CD9">
      <w:pPr>
        <w:spacing w:after="0" w:line="240" w:lineRule="auto"/>
        <w:ind w:left="454" w:hanging="454"/>
        <w:rPr>
          <w:rFonts w:ascii="Arial" w:hAnsi="Arial" w:cs="Arial"/>
        </w:rPr>
      </w:pPr>
    </w:p>
    <w:p w14:paraId="04A0D974" w14:textId="358CE802" w:rsidR="000A16E4" w:rsidRPr="004B5CD9" w:rsidRDefault="005E149E" w:rsidP="004B5CD9">
      <w:pPr>
        <w:spacing w:after="0" w:line="240" w:lineRule="auto"/>
        <w:ind w:left="454" w:hanging="454"/>
        <w:rPr>
          <w:rFonts w:ascii="Arial" w:hAnsi="Arial" w:cs="Arial"/>
          <w:b/>
          <w:bCs/>
        </w:rPr>
      </w:pPr>
      <w:r w:rsidRPr="004B5CD9">
        <w:rPr>
          <w:rFonts w:ascii="Arial" w:hAnsi="Arial" w:cs="Arial"/>
          <w:b/>
        </w:rPr>
        <w:t>6.1</w:t>
      </w:r>
      <w:r w:rsidRPr="004B5CD9">
        <w:rPr>
          <w:rFonts w:ascii="Arial" w:hAnsi="Arial" w:cs="Arial"/>
          <w:b/>
        </w:rPr>
        <w:tab/>
        <w:t xml:space="preserve">Analysis per notification system since </w:t>
      </w:r>
      <w:r w:rsidR="00EE6C4B" w:rsidRPr="004B5CD9">
        <w:rPr>
          <w:rFonts w:ascii="Arial" w:hAnsi="Arial" w:cs="Arial"/>
          <w:b/>
          <w:bCs/>
        </w:rPr>
        <w:t xml:space="preserve">1 </w:t>
      </w:r>
      <w:r w:rsidR="00883BFC" w:rsidRPr="004B5CD9">
        <w:rPr>
          <w:rFonts w:ascii="Arial" w:hAnsi="Arial" w:cs="Arial"/>
          <w:b/>
          <w:bCs/>
        </w:rPr>
        <w:t xml:space="preserve">October </w:t>
      </w:r>
      <w:r w:rsidR="0023780A" w:rsidRPr="004B5CD9">
        <w:rPr>
          <w:rFonts w:ascii="Arial" w:hAnsi="Arial" w:cs="Arial"/>
          <w:b/>
          <w:bCs/>
        </w:rPr>
        <w:t>202</w:t>
      </w:r>
      <w:r w:rsidR="008B6652" w:rsidRPr="004B5CD9">
        <w:rPr>
          <w:rFonts w:ascii="Arial" w:hAnsi="Arial" w:cs="Arial"/>
          <w:b/>
          <w:bCs/>
        </w:rPr>
        <w:t>4</w:t>
      </w:r>
      <w:r w:rsidR="0023780A" w:rsidRPr="004B5CD9">
        <w:rPr>
          <w:rFonts w:ascii="Arial" w:hAnsi="Arial" w:cs="Arial"/>
          <w:b/>
          <w:bCs/>
        </w:rPr>
        <w:t xml:space="preserve"> to </w:t>
      </w:r>
      <w:r w:rsidR="007A13EA" w:rsidRPr="004B5CD9">
        <w:rPr>
          <w:rFonts w:ascii="Arial" w:hAnsi="Arial" w:cs="Arial"/>
          <w:b/>
          <w:bCs/>
        </w:rPr>
        <w:t>3</w:t>
      </w:r>
      <w:r w:rsidR="00883BFC" w:rsidRPr="004B5CD9">
        <w:rPr>
          <w:rFonts w:ascii="Arial" w:hAnsi="Arial" w:cs="Arial"/>
          <w:b/>
          <w:bCs/>
        </w:rPr>
        <w:t>1</w:t>
      </w:r>
      <w:r w:rsidR="00666799" w:rsidRPr="004B5CD9">
        <w:rPr>
          <w:rFonts w:ascii="Arial" w:hAnsi="Arial" w:cs="Arial"/>
          <w:b/>
          <w:bCs/>
        </w:rPr>
        <w:t xml:space="preserve"> </w:t>
      </w:r>
      <w:r w:rsidR="00883BFC" w:rsidRPr="004B5CD9">
        <w:rPr>
          <w:rFonts w:ascii="Arial" w:hAnsi="Arial" w:cs="Arial"/>
          <w:b/>
          <w:bCs/>
        </w:rPr>
        <w:t xml:space="preserve">December </w:t>
      </w:r>
      <w:r w:rsidR="0023780A" w:rsidRPr="004B5CD9">
        <w:rPr>
          <w:rFonts w:ascii="Arial" w:hAnsi="Arial" w:cs="Arial"/>
          <w:b/>
          <w:bCs/>
        </w:rPr>
        <w:t>202</w:t>
      </w:r>
      <w:r w:rsidR="0030466E" w:rsidRPr="004B5CD9">
        <w:rPr>
          <w:rFonts w:ascii="Arial" w:hAnsi="Arial" w:cs="Arial"/>
          <w:b/>
          <w:bCs/>
        </w:rPr>
        <w:t>4</w:t>
      </w:r>
    </w:p>
    <w:p w14:paraId="148CD688" w14:textId="77777777" w:rsidR="00764E8F" w:rsidRPr="00CF1642" w:rsidRDefault="00764E8F" w:rsidP="00764E8F">
      <w:pPr>
        <w:spacing w:after="0" w:line="240" w:lineRule="auto"/>
        <w:rPr>
          <w:rFonts w:ascii="Arial" w:hAnsi="Arial" w:cs="Arial"/>
          <w:color w:val="000000" w:themeColor="text1"/>
          <w:sz w:val="8"/>
          <w:szCs w:val="8"/>
        </w:rPr>
      </w:pPr>
    </w:p>
    <w:p w14:paraId="29C2E30D" w14:textId="306F3739" w:rsidR="00EC06E9" w:rsidRPr="004B5CD9" w:rsidRDefault="00091112" w:rsidP="004B5CD9">
      <w:pPr>
        <w:pStyle w:val="NormalWeb"/>
        <w:spacing w:before="0" w:beforeAutospacing="0" w:after="0" w:afterAutospacing="0"/>
        <w:jc w:val="center"/>
        <w:rPr>
          <w:rFonts w:ascii="Arial" w:hAnsi="Arial" w:cs="Arial"/>
          <w:bCs/>
          <w:sz w:val="22"/>
          <w:szCs w:val="22"/>
          <w:highlight w:val="green"/>
        </w:rPr>
      </w:pPr>
      <w:r w:rsidRPr="004B5CD9">
        <w:rPr>
          <w:rFonts w:ascii="Arial" w:hAnsi="Arial" w:cs="Arial"/>
          <w:noProof/>
          <w:sz w:val="22"/>
          <w:szCs w:val="22"/>
        </w:rPr>
        <w:drawing>
          <wp:inline distT="0" distB="0" distL="0" distR="0" wp14:anchorId="35A64971" wp14:editId="5C2AD18C">
            <wp:extent cx="6400800" cy="2743200"/>
            <wp:effectExtent l="0" t="0" r="0" b="0"/>
            <wp:docPr id="1641682801" name="Chart 1">
              <a:extLst xmlns:a="http://schemas.openxmlformats.org/drawingml/2006/main">
                <a:ext uri="{FF2B5EF4-FFF2-40B4-BE49-F238E27FC236}">
                  <a16:creationId xmlns:a16="http://schemas.microsoft.com/office/drawing/2014/main" id="{80253D5F-C9FF-4A3C-73DD-29B52F716E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2FA1F9" w14:textId="6A3E0729" w:rsidR="004147DF" w:rsidRPr="00764E8F" w:rsidRDefault="004147DF" w:rsidP="004B5CD9">
      <w:pPr>
        <w:spacing w:after="0" w:line="240" w:lineRule="auto"/>
        <w:rPr>
          <w:rFonts w:ascii="Arial" w:eastAsia="Times New Roman" w:hAnsi="Arial" w:cs="Arial"/>
          <w:bCs/>
          <w:sz w:val="16"/>
          <w:szCs w:val="16"/>
          <w:highlight w:val="green"/>
          <w:lang w:eastAsia="en-GB"/>
        </w:rPr>
      </w:pPr>
    </w:p>
    <w:tbl>
      <w:tblPr>
        <w:tblW w:w="55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83"/>
        <w:gridCol w:w="2741"/>
      </w:tblGrid>
      <w:tr w:rsidR="005E149E" w:rsidRPr="004B5CD9" w14:paraId="6D27D500" w14:textId="77777777" w:rsidTr="00E55379">
        <w:trPr>
          <w:trHeight w:val="256"/>
          <w:jc w:val="center"/>
        </w:trPr>
        <w:tc>
          <w:tcPr>
            <w:tcW w:w="2783" w:type="dxa"/>
            <w:shd w:val="clear" w:color="DCE6F1" w:fill="DCE6F1"/>
            <w:noWrap/>
            <w:vAlign w:val="bottom"/>
            <w:hideMark/>
          </w:tcPr>
          <w:p w14:paraId="3026CBBB" w14:textId="674E73FD" w:rsidR="005E149E" w:rsidRPr="004B5CD9" w:rsidRDefault="0023780A" w:rsidP="00D160DB">
            <w:pPr>
              <w:spacing w:before="120"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System</w:t>
            </w:r>
          </w:p>
        </w:tc>
        <w:tc>
          <w:tcPr>
            <w:tcW w:w="2741" w:type="dxa"/>
            <w:shd w:val="clear" w:color="DCE6F1" w:fill="DCE6F1"/>
            <w:noWrap/>
            <w:vAlign w:val="bottom"/>
            <w:hideMark/>
          </w:tcPr>
          <w:p w14:paraId="5B628226" w14:textId="236193A5" w:rsidR="005E149E" w:rsidRPr="004B5CD9" w:rsidRDefault="0023780A" w:rsidP="00D160DB">
            <w:pPr>
              <w:spacing w:before="120"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Number of Deaths</w:t>
            </w:r>
          </w:p>
        </w:tc>
      </w:tr>
      <w:tr w:rsidR="005E149E" w:rsidRPr="004B5CD9" w14:paraId="517B1943" w14:textId="77777777" w:rsidTr="00E55379">
        <w:trPr>
          <w:trHeight w:val="256"/>
          <w:jc w:val="center"/>
        </w:trPr>
        <w:tc>
          <w:tcPr>
            <w:tcW w:w="2783" w:type="dxa"/>
            <w:shd w:val="clear" w:color="auto" w:fill="auto"/>
            <w:noWrap/>
            <w:vAlign w:val="bottom"/>
          </w:tcPr>
          <w:p w14:paraId="2C23621A" w14:textId="0C682A31" w:rsidR="005E149E" w:rsidRPr="004B5CD9" w:rsidRDefault="00852BB8" w:rsidP="00D160DB">
            <w:pPr>
              <w:spacing w:before="120" w:after="0" w:line="240" w:lineRule="auto"/>
              <w:rPr>
                <w:rFonts w:ascii="Arial" w:eastAsia="Times New Roman" w:hAnsi="Arial" w:cs="Arial"/>
                <w:color w:val="000000"/>
                <w:lang w:eastAsia="en-GB"/>
              </w:rPr>
            </w:pPr>
            <w:r w:rsidRPr="004B5CD9">
              <w:rPr>
                <w:rFonts w:ascii="Arial" w:eastAsia="Times New Roman" w:hAnsi="Arial" w:cs="Arial"/>
                <w:color w:val="000000"/>
                <w:lang w:eastAsia="en-GB"/>
              </w:rPr>
              <w:t>SystmOne</w:t>
            </w:r>
          </w:p>
        </w:tc>
        <w:tc>
          <w:tcPr>
            <w:tcW w:w="2741" w:type="dxa"/>
            <w:shd w:val="clear" w:color="auto" w:fill="auto"/>
            <w:noWrap/>
            <w:vAlign w:val="bottom"/>
          </w:tcPr>
          <w:p w14:paraId="64775815" w14:textId="18E3828D" w:rsidR="005E149E" w:rsidRPr="004B5CD9" w:rsidRDefault="00091112" w:rsidP="00D160DB">
            <w:pPr>
              <w:spacing w:before="120" w:after="0" w:line="240" w:lineRule="auto"/>
              <w:jc w:val="center"/>
              <w:rPr>
                <w:rFonts w:ascii="Arial" w:eastAsia="Times New Roman" w:hAnsi="Arial" w:cs="Arial"/>
                <w:color w:val="000000"/>
                <w:lang w:eastAsia="en-GB"/>
              </w:rPr>
            </w:pPr>
            <w:r w:rsidRPr="004B5CD9">
              <w:rPr>
                <w:rFonts w:ascii="Arial" w:eastAsia="Times New Roman" w:hAnsi="Arial" w:cs="Arial"/>
                <w:color w:val="000000"/>
                <w:lang w:eastAsia="en-GB"/>
              </w:rPr>
              <w:t>573</w:t>
            </w:r>
          </w:p>
        </w:tc>
      </w:tr>
      <w:tr w:rsidR="005E149E" w:rsidRPr="004B5CD9" w14:paraId="66431C64" w14:textId="77777777" w:rsidTr="00E55379">
        <w:trPr>
          <w:trHeight w:val="256"/>
          <w:jc w:val="center"/>
        </w:trPr>
        <w:tc>
          <w:tcPr>
            <w:tcW w:w="2783" w:type="dxa"/>
            <w:shd w:val="clear" w:color="auto" w:fill="auto"/>
            <w:noWrap/>
            <w:vAlign w:val="bottom"/>
          </w:tcPr>
          <w:p w14:paraId="7A84EDF0" w14:textId="0A9F01E3" w:rsidR="005E149E" w:rsidRPr="004B5CD9" w:rsidRDefault="00852BB8" w:rsidP="00D160DB">
            <w:pPr>
              <w:spacing w:before="120" w:after="0" w:line="240" w:lineRule="auto"/>
              <w:rPr>
                <w:rFonts w:ascii="Arial" w:eastAsia="Times New Roman" w:hAnsi="Arial" w:cs="Arial"/>
                <w:color w:val="000000"/>
                <w:lang w:eastAsia="en-GB"/>
              </w:rPr>
            </w:pPr>
            <w:r w:rsidRPr="004B5CD9">
              <w:rPr>
                <w:rFonts w:ascii="Arial" w:eastAsia="Times New Roman" w:hAnsi="Arial" w:cs="Arial"/>
                <w:color w:val="000000"/>
                <w:lang w:eastAsia="en-GB"/>
              </w:rPr>
              <w:t>IAPT</w:t>
            </w:r>
          </w:p>
        </w:tc>
        <w:tc>
          <w:tcPr>
            <w:tcW w:w="2741" w:type="dxa"/>
            <w:shd w:val="clear" w:color="auto" w:fill="auto"/>
            <w:noWrap/>
            <w:vAlign w:val="bottom"/>
          </w:tcPr>
          <w:p w14:paraId="58A8FEC8" w14:textId="7D67A4F8" w:rsidR="005E149E" w:rsidRPr="004B5CD9" w:rsidRDefault="00091112" w:rsidP="00D160DB">
            <w:pPr>
              <w:spacing w:before="120" w:after="0" w:line="240" w:lineRule="auto"/>
              <w:jc w:val="center"/>
              <w:rPr>
                <w:rFonts w:ascii="Arial" w:eastAsia="Times New Roman" w:hAnsi="Arial" w:cs="Arial"/>
                <w:color w:val="000000"/>
                <w:lang w:eastAsia="en-GB"/>
              </w:rPr>
            </w:pPr>
            <w:r w:rsidRPr="004B5CD9">
              <w:rPr>
                <w:rFonts w:ascii="Arial" w:eastAsia="Times New Roman" w:hAnsi="Arial" w:cs="Arial"/>
                <w:color w:val="000000"/>
                <w:lang w:eastAsia="en-GB"/>
              </w:rPr>
              <w:t>9</w:t>
            </w:r>
          </w:p>
        </w:tc>
      </w:tr>
      <w:tr w:rsidR="005E149E" w:rsidRPr="004B5CD9" w14:paraId="1A79A4AF" w14:textId="77777777" w:rsidTr="00E55379">
        <w:trPr>
          <w:trHeight w:val="256"/>
          <w:jc w:val="center"/>
        </w:trPr>
        <w:tc>
          <w:tcPr>
            <w:tcW w:w="2783" w:type="dxa"/>
            <w:shd w:val="clear" w:color="DCE6F1" w:fill="DCE6F1"/>
            <w:noWrap/>
            <w:vAlign w:val="bottom"/>
            <w:hideMark/>
          </w:tcPr>
          <w:p w14:paraId="2C022692" w14:textId="77777777" w:rsidR="005E149E" w:rsidRPr="004B5CD9" w:rsidRDefault="005E149E" w:rsidP="00D160DB">
            <w:pPr>
              <w:spacing w:before="120"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Grand Total</w:t>
            </w:r>
          </w:p>
        </w:tc>
        <w:tc>
          <w:tcPr>
            <w:tcW w:w="2741" w:type="dxa"/>
            <w:shd w:val="clear" w:color="DCE6F1" w:fill="DCE6F1"/>
            <w:noWrap/>
            <w:vAlign w:val="bottom"/>
          </w:tcPr>
          <w:p w14:paraId="698E7DB6" w14:textId="09E5009F" w:rsidR="005E149E" w:rsidRPr="004B5CD9" w:rsidRDefault="00091112" w:rsidP="00D160DB">
            <w:pPr>
              <w:spacing w:before="120"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582</w:t>
            </w:r>
          </w:p>
        </w:tc>
      </w:tr>
    </w:tbl>
    <w:p w14:paraId="6FC73B68" w14:textId="77777777" w:rsidR="006124B0" w:rsidRPr="004B5CD9" w:rsidRDefault="006124B0" w:rsidP="004B5CD9">
      <w:pPr>
        <w:spacing w:after="0" w:line="240" w:lineRule="auto"/>
        <w:rPr>
          <w:rFonts w:ascii="Arial" w:hAnsi="Arial" w:cs="Arial"/>
        </w:rPr>
      </w:pPr>
    </w:p>
    <w:p w14:paraId="26B860AE" w14:textId="4FAFDD8E" w:rsidR="00BA50F9" w:rsidRPr="004B5CD9" w:rsidRDefault="005E149E" w:rsidP="004B5CD9">
      <w:pPr>
        <w:spacing w:after="0" w:line="240" w:lineRule="auto"/>
        <w:rPr>
          <w:rFonts w:ascii="Arial" w:hAnsi="Arial" w:cs="Arial"/>
        </w:rPr>
      </w:pPr>
      <w:r w:rsidRPr="004B5CD9">
        <w:rPr>
          <w:rFonts w:ascii="Arial" w:hAnsi="Arial" w:cs="Arial"/>
        </w:rPr>
        <w:t xml:space="preserve">The data above shows the total number of deaths reported by each notification system. The majority of death notifications were predominately pulled from </w:t>
      </w:r>
      <w:r w:rsidR="009D782A" w:rsidRPr="004B5CD9">
        <w:rPr>
          <w:rFonts w:ascii="Arial" w:hAnsi="Arial" w:cs="Arial"/>
        </w:rPr>
        <w:t>SystmOne</w:t>
      </w:r>
      <w:r w:rsidRPr="004B5CD9">
        <w:rPr>
          <w:rFonts w:ascii="Arial" w:hAnsi="Arial" w:cs="Arial"/>
        </w:rPr>
        <w:t>. This clinical record system is aligned to our largest population of patients and a population at greatest risk of death due to the proportion of older people in our care.</w:t>
      </w:r>
    </w:p>
    <w:p w14:paraId="60C2CE68" w14:textId="77777777" w:rsidR="00BA50F9" w:rsidRPr="004B5CD9" w:rsidRDefault="00BA50F9" w:rsidP="004B5CD9">
      <w:pPr>
        <w:spacing w:after="0" w:line="240" w:lineRule="auto"/>
        <w:rPr>
          <w:rFonts w:ascii="Arial" w:hAnsi="Arial" w:cs="Arial"/>
        </w:rPr>
      </w:pPr>
    </w:p>
    <w:p w14:paraId="299A5BF2" w14:textId="32A465DF" w:rsidR="005E149E" w:rsidRPr="004B5CD9" w:rsidRDefault="00BA50F9" w:rsidP="004B5CD9">
      <w:pPr>
        <w:spacing w:after="0" w:line="240" w:lineRule="auto"/>
        <w:rPr>
          <w:rFonts w:ascii="Arial" w:hAnsi="Arial" w:cs="Arial"/>
        </w:rPr>
      </w:pPr>
      <w:r w:rsidRPr="004B5CD9">
        <w:rPr>
          <w:rFonts w:ascii="Arial" w:hAnsi="Arial" w:cs="Arial"/>
          <w:b/>
          <w:bCs/>
        </w:rPr>
        <w:t>6.2</w:t>
      </w:r>
      <w:r w:rsidRPr="004B5CD9">
        <w:rPr>
          <w:rFonts w:ascii="Arial" w:hAnsi="Arial" w:cs="Arial"/>
        </w:rPr>
        <w:t xml:space="preserve"> </w:t>
      </w:r>
      <w:r w:rsidR="00D75D9A" w:rsidRPr="004B5CD9">
        <w:rPr>
          <w:rFonts w:ascii="Arial" w:hAnsi="Arial" w:cs="Arial"/>
          <w:b/>
        </w:rPr>
        <w:t>Analysis</w:t>
      </w:r>
      <w:r w:rsidR="005E149E" w:rsidRPr="004B5CD9">
        <w:rPr>
          <w:rFonts w:ascii="Arial" w:hAnsi="Arial" w:cs="Arial"/>
          <w:b/>
        </w:rPr>
        <w:t xml:space="preserve"> by Gender</w:t>
      </w:r>
    </w:p>
    <w:p w14:paraId="21C60FE8" w14:textId="77777777" w:rsidR="005E149E" w:rsidRPr="004B5CD9" w:rsidRDefault="005E149E" w:rsidP="004B5CD9">
      <w:pPr>
        <w:spacing w:after="0" w:line="240" w:lineRule="auto"/>
        <w:ind w:left="720" w:hanging="720"/>
        <w:rPr>
          <w:rFonts w:ascii="Arial" w:hAnsi="Arial" w:cs="Arial"/>
          <w:highlight w:val="yellow"/>
        </w:rPr>
      </w:pPr>
    </w:p>
    <w:p w14:paraId="465D0B93" w14:textId="5E2B0494" w:rsidR="005E149E" w:rsidRPr="004B5CD9" w:rsidRDefault="005E149E" w:rsidP="004B5CD9">
      <w:pPr>
        <w:pStyle w:val="NormalWeb"/>
        <w:spacing w:before="0" w:beforeAutospacing="0" w:after="0" w:afterAutospacing="0"/>
        <w:rPr>
          <w:rFonts w:ascii="Arial" w:hAnsi="Arial" w:cs="Arial"/>
          <w:sz w:val="22"/>
          <w:szCs w:val="22"/>
        </w:rPr>
      </w:pPr>
      <w:r w:rsidRPr="004B5CD9">
        <w:rPr>
          <w:rFonts w:ascii="Arial" w:hAnsi="Arial" w:cs="Arial"/>
          <w:sz w:val="22"/>
          <w:szCs w:val="22"/>
        </w:rPr>
        <w:t xml:space="preserve">The </w:t>
      </w:r>
      <w:r w:rsidR="009B5FB2">
        <w:rPr>
          <w:rFonts w:ascii="Arial" w:hAnsi="Arial" w:cs="Arial"/>
          <w:sz w:val="22"/>
          <w:szCs w:val="22"/>
        </w:rPr>
        <w:t xml:space="preserve">following </w:t>
      </w:r>
      <w:r w:rsidRPr="004B5CD9">
        <w:rPr>
          <w:rFonts w:ascii="Arial" w:hAnsi="Arial" w:cs="Arial"/>
          <w:sz w:val="22"/>
          <w:szCs w:val="22"/>
        </w:rPr>
        <w:t xml:space="preserve">data shows the total number of deaths by gender </w:t>
      </w:r>
      <w:r w:rsidR="00EE6C4B" w:rsidRPr="004B5CD9">
        <w:rPr>
          <w:rFonts w:ascii="Arial" w:hAnsi="Arial" w:cs="Arial"/>
          <w:sz w:val="22"/>
          <w:szCs w:val="22"/>
        </w:rPr>
        <w:t xml:space="preserve">1 </w:t>
      </w:r>
      <w:r w:rsidR="0095127F" w:rsidRPr="004B5CD9">
        <w:rPr>
          <w:rFonts w:ascii="Arial" w:hAnsi="Arial" w:cs="Arial"/>
          <w:sz w:val="22"/>
          <w:szCs w:val="22"/>
        </w:rPr>
        <w:t xml:space="preserve">October </w:t>
      </w:r>
      <w:r w:rsidR="008D2CE6" w:rsidRPr="004B5CD9">
        <w:rPr>
          <w:rFonts w:ascii="Arial" w:hAnsi="Arial" w:cs="Arial"/>
          <w:sz w:val="22"/>
          <w:szCs w:val="22"/>
        </w:rPr>
        <w:t>2024 to 3</w:t>
      </w:r>
      <w:r w:rsidR="0095127F" w:rsidRPr="004B5CD9">
        <w:rPr>
          <w:rFonts w:ascii="Arial" w:hAnsi="Arial" w:cs="Arial"/>
          <w:sz w:val="22"/>
          <w:szCs w:val="22"/>
        </w:rPr>
        <w:t>1</w:t>
      </w:r>
      <w:r w:rsidR="008D2CE6" w:rsidRPr="004B5CD9">
        <w:rPr>
          <w:rFonts w:ascii="Arial" w:hAnsi="Arial" w:cs="Arial"/>
          <w:sz w:val="22"/>
          <w:szCs w:val="22"/>
        </w:rPr>
        <w:t xml:space="preserve"> </w:t>
      </w:r>
      <w:r w:rsidR="0095127F" w:rsidRPr="004B5CD9">
        <w:rPr>
          <w:rFonts w:ascii="Arial" w:hAnsi="Arial" w:cs="Arial"/>
          <w:sz w:val="22"/>
          <w:szCs w:val="22"/>
        </w:rPr>
        <w:t>December</w:t>
      </w:r>
      <w:r w:rsidR="008D2CE6" w:rsidRPr="004B5CD9">
        <w:rPr>
          <w:rFonts w:ascii="Arial" w:hAnsi="Arial" w:cs="Arial"/>
          <w:sz w:val="22"/>
          <w:szCs w:val="22"/>
        </w:rPr>
        <w:t xml:space="preserve"> 2024</w:t>
      </w:r>
      <w:r w:rsidRPr="004B5CD9">
        <w:rPr>
          <w:rFonts w:ascii="Arial" w:hAnsi="Arial" w:cs="Arial"/>
          <w:sz w:val="22"/>
          <w:szCs w:val="22"/>
        </w:rPr>
        <w:t>.</w:t>
      </w:r>
      <w:r w:rsidR="00E7132A" w:rsidRPr="004B5CD9">
        <w:rPr>
          <w:rFonts w:ascii="Arial" w:hAnsi="Arial" w:cs="Arial"/>
          <w:sz w:val="22"/>
          <w:szCs w:val="22"/>
        </w:rPr>
        <w:t xml:space="preserve"> </w:t>
      </w:r>
      <w:r w:rsidRPr="004B5CD9">
        <w:rPr>
          <w:rFonts w:ascii="Arial" w:hAnsi="Arial" w:cs="Arial"/>
          <w:sz w:val="22"/>
          <w:szCs w:val="22"/>
        </w:rPr>
        <w:t>There is very little variation between male and female deaths;</w:t>
      </w:r>
      <w:r w:rsidR="009C1C36" w:rsidRPr="004B5CD9">
        <w:rPr>
          <w:rFonts w:ascii="Arial" w:hAnsi="Arial" w:cs="Arial"/>
          <w:sz w:val="22"/>
          <w:szCs w:val="22"/>
        </w:rPr>
        <w:t xml:space="preserve"> </w:t>
      </w:r>
      <w:r w:rsidR="0095127F" w:rsidRPr="004B5CD9">
        <w:rPr>
          <w:rFonts w:ascii="Arial" w:hAnsi="Arial" w:cs="Arial"/>
          <w:sz w:val="22"/>
          <w:szCs w:val="22"/>
        </w:rPr>
        <w:t>263</w:t>
      </w:r>
      <w:r w:rsidR="00AE7C5A" w:rsidRPr="004B5CD9">
        <w:rPr>
          <w:rFonts w:ascii="Arial" w:hAnsi="Arial" w:cs="Arial"/>
          <w:sz w:val="22"/>
          <w:szCs w:val="22"/>
        </w:rPr>
        <w:t xml:space="preserve"> </w:t>
      </w:r>
      <w:r w:rsidR="008F3977" w:rsidRPr="004B5CD9">
        <w:rPr>
          <w:rFonts w:ascii="Arial" w:hAnsi="Arial" w:cs="Arial"/>
          <w:sz w:val="22"/>
          <w:szCs w:val="22"/>
        </w:rPr>
        <w:t>fe</w:t>
      </w:r>
      <w:r w:rsidRPr="004B5CD9">
        <w:rPr>
          <w:rFonts w:ascii="Arial" w:hAnsi="Arial" w:cs="Arial"/>
          <w:sz w:val="22"/>
          <w:szCs w:val="22"/>
        </w:rPr>
        <w:t xml:space="preserve">male deaths were reported compared to </w:t>
      </w:r>
      <w:r w:rsidR="0095127F" w:rsidRPr="004B5CD9">
        <w:rPr>
          <w:rFonts w:ascii="Arial" w:hAnsi="Arial" w:cs="Arial"/>
          <w:sz w:val="22"/>
          <w:szCs w:val="22"/>
        </w:rPr>
        <w:t>319</w:t>
      </w:r>
      <w:r w:rsidR="00197E2F" w:rsidRPr="004B5CD9">
        <w:rPr>
          <w:rFonts w:ascii="Arial" w:hAnsi="Arial" w:cs="Arial"/>
          <w:sz w:val="22"/>
          <w:szCs w:val="22"/>
        </w:rPr>
        <w:t xml:space="preserve"> </w:t>
      </w:r>
      <w:r w:rsidR="00EC06E9" w:rsidRPr="004B5CD9">
        <w:rPr>
          <w:rFonts w:ascii="Arial" w:hAnsi="Arial" w:cs="Arial"/>
          <w:sz w:val="22"/>
          <w:szCs w:val="22"/>
        </w:rPr>
        <w:t>males</w:t>
      </w:r>
      <w:r w:rsidR="009B5FB2">
        <w:rPr>
          <w:rFonts w:ascii="Arial" w:hAnsi="Arial" w:cs="Arial"/>
          <w:sz w:val="22"/>
          <w:szCs w:val="22"/>
        </w:rPr>
        <w:t>:</w:t>
      </w:r>
    </w:p>
    <w:p w14:paraId="1BD1DB8A" w14:textId="6E08D241" w:rsidR="00764E8F" w:rsidRDefault="00764E8F">
      <w:pPr>
        <w:rPr>
          <w:rFonts w:ascii="Arial" w:eastAsia="Times New Roman" w:hAnsi="Arial" w:cs="Arial"/>
          <w:lang w:eastAsia="en-GB"/>
        </w:rPr>
      </w:pPr>
      <w:r>
        <w:rPr>
          <w:rFonts w:ascii="Arial" w:eastAsia="Times New Roman" w:hAnsi="Arial" w:cs="Arial"/>
          <w:lang w:eastAsia="en-GB"/>
        </w:rPr>
        <w:br w:type="page"/>
      </w:r>
    </w:p>
    <w:p w14:paraId="3E1DCD92" w14:textId="15F46EA3" w:rsidR="00E7132A" w:rsidRPr="004B5CD9" w:rsidRDefault="0095127F" w:rsidP="004B5CD9">
      <w:pPr>
        <w:spacing w:after="0" w:line="240" w:lineRule="auto"/>
        <w:jc w:val="center"/>
        <w:rPr>
          <w:rFonts w:ascii="Arial" w:hAnsi="Arial" w:cs="Arial"/>
          <w:noProof/>
        </w:rPr>
      </w:pPr>
      <w:r w:rsidRPr="004B5CD9">
        <w:rPr>
          <w:rFonts w:ascii="Arial" w:hAnsi="Arial" w:cs="Arial"/>
          <w:noProof/>
        </w:rPr>
        <w:lastRenderedPageBreak/>
        <w:drawing>
          <wp:inline distT="0" distB="0" distL="0" distR="0" wp14:anchorId="5D45180A" wp14:editId="5A74889E">
            <wp:extent cx="6213475" cy="2647950"/>
            <wp:effectExtent l="0" t="0" r="15875" b="0"/>
            <wp:docPr id="514439058" name="Chart 1">
              <a:extLst xmlns:a="http://schemas.openxmlformats.org/drawingml/2006/main">
                <a:ext uri="{FF2B5EF4-FFF2-40B4-BE49-F238E27FC236}">
                  <a16:creationId xmlns:a16="http://schemas.microsoft.com/office/drawing/2014/main" id="{8D287F84-83BA-5B61-19A8-40324432F5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9742A6" w14:textId="77777777" w:rsidR="00A00DF0" w:rsidRDefault="00A00DF0" w:rsidP="004B5CD9">
      <w:pPr>
        <w:pStyle w:val="NormalWeb"/>
        <w:spacing w:before="0" w:beforeAutospacing="0" w:after="0" w:afterAutospacing="0"/>
        <w:rPr>
          <w:rFonts w:ascii="Arial" w:hAnsi="Arial" w:cs="Arial"/>
          <w:sz w:val="22"/>
          <w:szCs w:val="22"/>
        </w:rPr>
      </w:pPr>
    </w:p>
    <w:tbl>
      <w:tblPr>
        <w:tblW w:w="5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93"/>
        <w:gridCol w:w="2835"/>
      </w:tblGrid>
      <w:tr w:rsidR="005E149E" w:rsidRPr="004B5CD9" w14:paraId="313AA90C" w14:textId="77777777" w:rsidTr="00E55379">
        <w:trPr>
          <w:trHeight w:val="310"/>
          <w:jc w:val="center"/>
        </w:trPr>
        <w:tc>
          <w:tcPr>
            <w:tcW w:w="2693" w:type="dxa"/>
            <w:shd w:val="clear" w:color="DCE6F1" w:fill="DCE6F1"/>
            <w:noWrap/>
            <w:vAlign w:val="bottom"/>
            <w:hideMark/>
          </w:tcPr>
          <w:p w14:paraId="35176093" w14:textId="48F844D5" w:rsidR="005E149E" w:rsidRPr="004B5CD9" w:rsidRDefault="00E7132A" w:rsidP="00E55379">
            <w:pPr>
              <w:spacing w:before="120"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Gender</w:t>
            </w:r>
          </w:p>
        </w:tc>
        <w:tc>
          <w:tcPr>
            <w:tcW w:w="2835" w:type="dxa"/>
            <w:shd w:val="clear" w:color="DCE6F1" w:fill="DCE6F1"/>
            <w:noWrap/>
            <w:vAlign w:val="bottom"/>
            <w:hideMark/>
          </w:tcPr>
          <w:p w14:paraId="5CE0A584" w14:textId="32E64E30" w:rsidR="005E149E" w:rsidRPr="004B5CD9" w:rsidRDefault="00E7132A" w:rsidP="00E55379">
            <w:pPr>
              <w:spacing w:before="120"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Number of Deaths</w:t>
            </w:r>
          </w:p>
        </w:tc>
      </w:tr>
      <w:tr w:rsidR="005E149E" w:rsidRPr="004B5CD9" w14:paraId="63DABDC9" w14:textId="77777777" w:rsidTr="00E55379">
        <w:trPr>
          <w:trHeight w:val="310"/>
          <w:jc w:val="center"/>
        </w:trPr>
        <w:tc>
          <w:tcPr>
            <w:tcW w:w="2693" w:type="dxa"/>
            <w:shd w:val="clear" w:color="auto" w:fill="auto"/>
            <w:noWrap/>
            <w:vAlign w:val="bottom"/>
            <w:hideMark/>
          </w:tcPr>
          <w:p w14:paraId="32740102" w14:textId="48FB89BA" w:rsidR="005E149E" w:rsidRPr="004B5CD9" w:rsidRDefault="0095127F" w:rsidP="00E55379">
            <w:pPr>
              <w:spacing w:before="120" w:after="0" w:line="240" w:lineRule="auto"/>
              <w:rPr>
                <w:rFonts w:ascii="Arial" w:eastAsia="Times New Roman" w:hAnsi="Arial" w:cs="Arial"/>
                <w:color w:val="000000"/>
                <w:lang w:eastAsia="en-GB"/>
              </w:rPr>
            </w:pPr>
            <w:r w:rsidRPr="004B5CD9">
              <w:rPr>
                <w:rFonts w:ascii="Arial" w:eastAsia="Times New Roman" w:hAnsi="Arial" w:cs="Arial"/>
                <w:color w:val="000000"/>
                <w:lang w:eastAsia="en-GB"/>
              </w:rPr>
              <w:t>Male</w:t>
            </w:r>
          </w:p>
        </w:tc>
        <w:tc>
          <w:tcPr>
            <w:tcW w:w="2835" w:type="dxa"/>
            <w:shd w:val="clear" w:color="auto" w:fill="auto"/>
            <w:noWrap/>
            <w:vAlign w:val="bottom"/>
          </w:tcPr>
          <w:p w14:paraId="275786CA" w14:textId="24A546B4" w:rsidR="005E149E" w:rsidRPr="004B5CD9" w:rsidRDefault="0095127F" w:rsidP="00E55379">
            <w:pPr>
              <w:spacing w:before="120" w:after="0" w:line="240" w:lineRule="auto"/>
              <w:jc w:val="center"/>
              <w:rPr>
                <w:rFonts w:ascii="Arial" w:eastAsia="Times New Roman" w:hAnsi="Arial" w:cs="Arial"/>
                <w:color w:val="000000"/>
                <w:lang w:eastAsia="en-GB"/>
              </w:rPr>
            </w:pPr>
            <w:r w:rsidRPr="004B5CD9">
              <w:rPr>
                <w:rFonts w:ascii="Arial" w:hAnsi="Arial" w:cs="Arial"/>
              </w:rPr>
              <w:t>319</w:t>
            </w:r>
          </w:p>
        </w:tc>
      </w:tr>
      <w:tr w:rsidR="005E149E" w:rsidRPr="004B5CD9" w14:paraId="645A3BF1" w14:textId="77777777" w:rsidTr="00E55379">
        <w:trPr>
          <w:trHeight w:val="310"/>
          <w:jc w:val="center"/>
        </w:trPr>
        <w:tc>
          <w:tcPr>
            <w:tcW w:w="2693" w:type="dxa"/>
            <w:shd w:val="clear" w:color="auto" w:fill="auto"/>
            <w:noWrap/>
            <w:vAlign w:val="bottom"/>
            <w:hideMark/>
          </w:tcPr>
          <w:p w14:paraId="59AFB005" w14:textId="1AED7A73" w:rsidR="005E149E" w:rsidRPr="004B5CD9" w:rsidRDefault="0095127F" w:rsidP="00E55379">
            <w:pPr>
              <w:spacing w:before="120" w:after="0" w:line="240" w:lineRule="auto"/>
              <w:rPr>
                <w:rFonts w:ascii="Arial" w:eastAsia="Times New Roman" w:hAnsi="Arial" w:cs="Arial"/>
                <w:color w:val="000000"/>
                <w:lang w:eastAsia="en-GB"/>
              </w:rPr>
            </w:pPr>
            <w:r w:rsidRPr="004B5CD9">
              <w:rPr>
                <w:rFonts w:ascii="Arial" w:eastAsia="Times New Roman" w:hAnsi="Arial" w:cs="Arial"/>
                <w:color w:val="000000"/>
                <w:lang w:eastAsia="en-GB"/>
              </w:rPr>
              <w:t>Fem</w:t>
            </w:r>
            <w:r w:rsidR="00567DAB" w:rsidRPr="004B5CD9">
              <w:rPr>
                <w:rFonts w:ascii="Arial" w:eastAsia="Times New Roman" w:hAnsi="Arial" w:cs="Arial"/>
                <w:color w:val="000000"/>
                <w:lang w:eastAsia="en-GB"/>
              </w:rPr>
              <w:t>ale</w:t>
            </w:r>
          </w:p>
        </w:tc>
        <w:tc>
          <w:tcPr>
            <w:tcW w:w="2835" w:type="dxa"/>
            <w:shd w:val="clear" w:color="auto" w:fill="auto"/>
            <w:noWrap/>
            <w:vAlign w:val="bottom"/>
          </w:tcPr>
          <w:p w14:paraId="44008E27" w14:textId="55BCC82F" w:rsidR="005E149E" w:rsidRPr="004B5CD9" w:rsidRDefault="0095127F" w:rsidP="00E55379">
            <w:pPr>
              <w:spacing w:before="120" w:after="0" w:line="240" w:lineRule="auto"/>
              <w:jc w:val="center"/>
              <w:rPr>
                <w:rFonts w:ascii="Arial" w:eastAsia="Times New Roman" w:hAnsi="Arial" w:cs="Arial"/>
                <w:color w:val="000000"/>
                <w:lang w:eastAsia="en-GB"/>
              </w:rPr>
            </w:pPr>
            <w:r w:rsidRPr="004B5CD9">
              <w:rPr>
                <w:rFonts w:ascii="Arial" w:hAnsi="Arial" w:cs="Arial"/>
              </w:rPr>
              <w:t>263</w:t>
            </w:r>
          </w:p>
        </w:tc>
      </w:tr>
      <w:tr w:rsidR="005E149E" w:rsidRPr="004B5CD9" w14:paraId="32D9C2FF" w14:textId="77777777" w:rsidTr="00E55379">
        <w:trPr>
          <w:trHeight w:val="310"/>
          <w:jc w:val="center"/>
        </w:trPr>
        <w:tc>
          <w:tcPr>
            <w:tcW w:w="2693" w:type="dxa"/>
            <w:shd w:val="clear" w:color="DCE6F1" w:fill="DCE6F1"/>
            <w:noWrap/>
            <w:vAlign w:val="bottom"/>
            <w:hideMark/>
          </w:tcPr>
          <w:p w14:paraId="74BA7B38" w14:textId="77777777" w:rsidR="005E149E" w:rsidRPr="004B5CD9" w:rsidRDefault="005E149E" w:rsidP="00E55379">
            <w:pPr>
              <w:spacing w:before="120"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Grand Total</w:t>
            </w:r>
          </w:p>
        </w:tc>
        <w:tc>
          <w:tcPr>
            <w:tcW w:w="2835" w:type="dxa"/>
            <w:shd w:val="clear" w:color="DCE6F1" w:fill="DCE6F1"/>
            <w:noWrap/>
            <w:vAlign w:val="bottom"/>
          </w:tcPr>
          <w:p w14:paraId="3115F80C" w14:textId="5A89798D" w:rsidR="005E149E" w:rsidRPr="004B5CD9" w:rsidRDefault="0095127F" w:rsidP="00E55379">
            <w:pPr>
              <w:spacing w:before="120" w:after="0" w:line="240" w:lineRule="auto"/>
              <w:jc w:val="center"/>
              <w:rPr>
                <w:rFonts w:ascii="Arial" w:eastAsia="Times New Roman" w:hAnsi="Arial" w:cs="Arial"/>
                <w:b/>
                <w:bCs/>
                <w:color w:val="000000"/>
                <w:lang w:eastAsia="en-GB"/>
              </w:rPr>
            </w:pPr>
            <w:r w:rsidRPr="004B5CD9">
              <w:rPr>
                <w:rFonts w:ascii="Arial" w:hAnsi="Arial" w:cs="Arial"/>
                <w:b/>
                <w:bCs/>
              </w:rPr>
              <w:t>582</w:t>
            </w:r>
          </w:p>
        </w:tc>
      </w:tr>
    </w:tbl>
    <w:p w14:paraId="7FE24B4F" w14:textId="77777777" w:rsidR="00FB2E74" w:rsidRPr="004B5CD9" w:rsidRDefault="00FB2E74" w:rsidP="004B5CD9">
      <w:pPr>
        <w:spacing w:after="0" w:line="240" w:lineRule="auto"/>
        <w:ind w:left="454" w:hanging="454"/>
        <w:rPr>
          <w:rFonts w:ascii="Arial" w:eastAsia="Times New Roman" w:hAnsi="Arial" w:cs="Arial"/>
          <w:bCs/>
          <w:lang w:eastAsia="en-GB"/>
        </w:rPr>
      </w:pPr>
    </w:p>
    <w:p w14:paraId="0FB4F2F4" w14:textId="736EE208" w:rsidR="005E149E" w:rsidRPr="004B5CD9" w:rsidRDefault="005E149E" w:rsidP="004B5CD9">
      <w:pPr>
        <w:spacing w:after="0" w:line="240" w:lineRule="auto"/>
        <w:ind w:left="454" w:hanging="454"/>
        <w:rPr>
          <w:rFonts w:ascii="Arial" w:hAnsi="Arial" w:cs="Arial"/>
        </w:rPr>
      </w:pPr>
      <w:r w:rsidRPr="004B5CD9">
        <w:rPr>
          <w:rFonts w:ascii="Arial" w:eastAsia="Times New Roman" w:hAnsi="Arial" w:cs="Arial"/>
          <w:b/>
          <w:lang w:eastAsia="en-GB"/>
        </w:rPr>
        <w:t>6.3</w:t>
      </w:r>
      <w:r w:rsidR="00954E78" w:rsidRPr="004B5CD9">
        <w:rPr>
          <w:rFonts w:ascii="Arial" w:eastAsia="Times New Roman" w:hAnsi="Arial" w:cs="Arial"/>
          <w:b/>
          <w:lang w:eastAsia="en-GB"/>
        </w:rPr>
        <w:tab/>
      </w:r>
      <w:r w:rsidR="008D484B" w:rsidRPr="004B5CD9">
        <w:rPr>
          <w:rFonts w:ascii="Arial" w:hAnsi="Arial" w:cs="Arial"/>
          <w:b/>
          <w:lang w:eastAsia="en-GB"/>
        </w:rPr>
        <w:t>Analysis</w:t>
      </w:r>
      <w:r w:rsidRPr="004B5CD9">
        <w:rPr>
          <w:rFonts w:ascii="Arial" w:hAnsi="Arial" w:cs="Arial"/>
          <w:b/>
          <w:lang w:eastAsia="en-GB"/>
        </w:rPr>
        <w:t xml:space="preserve"> by Age Group</w:t>
      </w:r>
    </w:p>
    <w:p w14:paraId="05DD5955" w14:textId="77777777" w:rsidR="00285688" w:rsidRPr="00217A3D" w:rsidRDefault="00285688" w:rsidP="004B5CD9">
      <w:pPr>
        <w:spacing w:after="0" w:line="240" w:lineRule="auto"/>
        <w:rPr>
          <w:rFonts w:ascii="Arial" w:hAnsi="Arial" w:cs="Arial"/>
          <w:sz w:val="8"/>
          <w:szCs w:val="8"/>
        </w:rPr>
      </w:pPr>
    </w:p>
    <w:p w14:paraId="4751F4FB" w14:textId="3DCAC929" w:rsidR="005E149E" w:rsidRPr="004B5CD9" w:rsidRDefault="005E149E" w:rsidP="004B5CD9">
      <w:pPr>
        <w:spacing w:after="0" w:line="240" w:lineRule="auto"/>
        <w:rPr>
          <w:rFonts w:ascii="Arial" w:hAnsi="Arial" w:cs="Arial"/>
        </w:rPr>
      </w:pPr>
      <w:r w:rsidRPr="004B5CD9">
        <w:rPr>
          <w:rFonts w:ascii="Arial" w:hAnsi="Arial" w:cs="Arial"/>
        </w:rPr>
        <w:t xml:space="preserve">The youngest age was classed as </w:t>
      </w:r>
      <w:r w:rsidR="00E55379">
        <w:rPr>
          <w:rFonts w:ascii="Arial" w:hAnsi="Arial" w:cs="Arial"/>
        </w:rPr>
        <w:t>zero</w:t>
      </w:r>
      <w:r w:rsidRPr="004B5CD9">
        <w:rPr>
          <w:rFonts w:ascii="Arial" w:hAnsi="Arial" w:cs="Arial"/>
        </w:rPr>
        <w:t xml:space="preserve">, and the oldest age was </w:t>
      </w:r>
      <w:r w:rsidR="00105087" w:rsidRPr="004B5CD9">
        <w:rPr>
          <w:rFonts w:ascii="Arial" w:hAnsi="Arial" w:cs="Arial"/>
        </w:rPr>
        <w:t xml:space="preserve">104 </w:t>
      </w:r>
      <w:r w:rsidRPr="004B5CD9">
        <w:rPr>
          <w:rFonts w:ascii="Arial" w:hAnsi="Arial" w:cs="Arial"/>
        </w:rPr>
        <w:t xml:space="preserve">years. Most deaths occurred within the </w:t>
      </w:r>
      <w:r w:rsidR="00E7132A" w:rsidRPr="004B5CD9">
        <w:rPr>
          <w:rFonts w:ascii="Arial" w:hAnsi="Arial" w:cs="Arial"/>
        </w:rPr>
        <w:t>8</w:t>
      </w:r>
      <w:r w:rsidR="00347F6E" w:rsidRPr="004B5CD9">
        <w:rPr>
          <w:rFonts w:ascii="Arial" w:hAnsi="Arial" w:cs="Arial"/>
        </w:rPr>
        <w:t>0</w:t>
      </w:r>
      <w:r w:rsidR="00E7132A" w:rsidRPr="004B5CD9">
        <w:rPr>
          <w:rFonts w:ascii="Arial" w:hAnsi="Arial" w:cs="Arial"/>
        </w:rPr>
        <w:t xml:space="preserve"> to </w:t>
      </w:r>
      <w:r w:rsidR="00347F6E" w:rsidRPr="004B5CD9">
        <w:rPr>
          <w:rFonts w:ascii="Arial" w:hAnsi="Arial" w:cs="Arial"/>
        </w:rPr>
        <w:t>89</w:t>
      </w:r>
      <w:r w:rsidR="008D484B" w:rsidRPr="004B5CD9">
        <w:rPr>
          <w:rFonts w:ascii="Arial" w:hAnsi="Arial" w:cs="Arial"/>
        </w:rPr>
        <w:t xml:space="preserve"> </w:t>
      </w:r>
      <w:r w:rsidRPr="004B5CD9">
        <w:rPr>
          <w:rFonts w:ascii="Arial" w:hAnsi="Arial" w:cs="Arial"/>
        </w:rPr>
        <w:t>age groups</w:t>
      </w:r>
      <w:r w:rsidR="000A16E4" w:rsidRPr="004B5CD9">
        <w:rPr>
          <w:rFonts w:ascii="Arial" w:hAnsi="Arial" w:cs="Arial"/>
        </w:rPr>
        <w:t xml:space="preserve"> (indicated by the star)</w:t>
      </w:r>
      <w:r w:rsidR="00E55379">
        <w:rPr>
          <w:rFonts w:ascii="Arial" w:hAnsi="Arial" w:cs="Arial"/>
        </w:rPr>
        <w:t>:</w:t>
      </w:r>
    </w:p>
    <w:p w14:paraId="7DAC8553" w14:textId="77777777" w:rsidR="00764E8F" w:rsidRPr="00764E8F" w:rsidRDefault="00764E8F" w:rsidP="00764E8F">
      <w:pPr>
        <w:spacing w:after="0" w:line="240" w:lineRule="auto"/>
        <w:rPr>
          <w:rFonts w:ascii="Arial" w:eastAsia="Times New Roman" w:hAnsi="Arial" w:cs="Arial"/>
          <w:bCs/>
          <w:sz w:val="16"/>
          <w:szCs w:val="16"/>
          <w:highlight w:val="green"/>
          <w:lang w:eastAsia="en-GB"/>
        </w:rPr>
      </w:pPr>
    </w:p>
    <w:p w14:paraId="26DDAD51" w14:textId="153B2EA5" w:rsidR="00105087" w:rsidRPr="004B5CD9" w:rsidRDefault="00105087" w:rsidP="004B5CD9">
      <w:pPr>
        <w:spacing w:after="0" w:line="240" w:lineRule="auto"/>
        <w:rPr>
          <w:rFonts w:ascii="Arial" w:hAnsi="Arial" w:cs="Arial"/>
        </w:rPr>
      </w:pPr>
      <w:r w:rsidRPr="004B5CD9">
        <w:rPr>
          <w:rFonts w:ascii="Arial" w:hAnsi="Arial" w:cs="Arial"/>
          <w:noProof/>
        </w:rPr>
        <w:drawing>
          <wp:inline distT="0" distB="0" distL="0" distR="0" wp14:anchorId="1A791E07" wp14:editId="0F9CF95C">
            <wp:extent cx="6330950" cy="2743200"/>
            <wp:effectExtent l="0" t="0" r="12700" b="0"/>
            <wp:docPr id="863001179" name="Chart 1">
              <a:extLst xmlns:a="http://schemas.openxmlformats.org/drawingml/2006/main">
                <a:ext uri="{FF2B5EF4-FFF2-40B4-BE49-F238E27FC236}">
                  <a16:creationId xmlns:a16="http://schemas.microsoft.com/office/drawing/2014/main" id="{E82100B2-1DA3-25E4-3F09-5AAE4EC995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1F743" w14:textId="77777777" w:rsidR="00105087" w:rsidRPr="004B5CD9" w:rsidRDefault="00105087" w:rsidP="004B5CD9">
      <w:pPr>
        <w:spacing w:after="0" w:line="240" w:lineRule="auto"/>
        <w:rPr>
          <w:rFonts w:ascii="Arial" w:hAnsi="Arial" w:cs="Arial"/>
        </w:rPr>
      </w:pPr>
    </w:p>
    <w:p w14:paraId="7EB1D612" w14:textId="714EF19B" w:rsidR="00485F58" w:rsidRPr="004B5CD9" w:rsidRDefault="00BA50F9" w:rsidP="004B5CD9">
      <w:pPr>
        <w:spacing w:after="0" w:line="240" w:lineRule="auto"/>
        <w:rPr>
          <w:rFonts w:ascii="Arial" w:hAnsi="Arial" w:cs="Arial"/>
          <w:bCs/>
        </w:rPr>
      </w:pPr>
      <w:r w:rsidRPr="004B5CD9">
        <w:rPr>
          <w:rFonts w:ascii="Arial" w:hAnsi="Arial" w:cs="Arial"/>
          <w:b/>
        </w:rPr>
        <w:t>6.4</w:t>
      </w:r>
      <w:r w:rsidR="005E149E" w:rsidRPr="004B5CD9">
        <w:rPr>
          <w:rFonts w:ascii="Arial" w:hAnsi="Arial" w:cs="Arial"/>
          <w:b/>
        </w:rPr>
        <w:tab/>
        <w:t xml:space="preserve">Learning Disability Deaths </w:t>
      </w:r>
      <w:r w:rsidR="00E70A6F" w:rsidRPr="004B5CD9">
        <w:rPr>
          <w:rFonts w:ascii="Arial" w:hAnsi="Arial" w:cs="Arial"/>
          <w:b/>
        </w:rPr>
        <w:t>(LD)</w:t>
      </w:r>
    </w:p>
    <w:p w14:paraId="2A176902" w14:textId="77777777" w:rsidR="00FB2E74" w:rsidRPr="00217A3D" w:rsidRDefault="00FB2E74" w:rsidP="004B5CD9">
      <w:pPr>
        <w:spacing w:after="0" w:line="240" w:lineRule="auto"/>
        <w:rPr>
          <w:rFonts w:ascii="Arial" w:hAnsi="Arial" w:cs="Arial"/>
          <w:bCs/>
          <w:sz w:val="8"/>
          <w:szCs w:val="8"/>
        </w:rPr>
      </w:pPr>
    </w:p>
    <w:tbl>
      <w:tblPr>
        <w:tblStyle w:val="TableGrid"/>
        <w:tblW w:w="7366" w:type="dxa"/>
        <w:jc w:val="center"/>
        <w:tblLayout w:type="fixed"/>
        <w:tblLook w:val="04A0" w:firstRow="1" w:lastRow="0" w:firstColumn="1" w:lastColumn="0" w:noHBand="0" w:noVBand="1"/>
      </w:tblPr>
      <w:tblGrid>
        <w:gridCol w:w="2263"/>
        <w:gridCol w:w="1701"/>
        <w:gridCol w:w="1701"/>
        <w:gridCol w:w="1701"/>
      </w:tblGrid>
      <w:tr w:rsidR="007C5856" w:rsidRPr="004B5CD9" w14:paraId="40624442" w14:textId="77777777" w:rsidTr="00E55379">
        <w:trPr>
          <w:jc w:val="center"/>
        </w:trPr>
        <w:tc>
          <w:tcPr>
            <w:tcW w:w="2263" w:type="dxa"/>
            <w:shd w:val="clear" w:color="auto" w:fill="0077D0"/>
          </w:tcPr>
          <w:p w14:paraId="7BF53EFC" w14:textId="77777777" w:rsidR="007C5856" w:rsidRPr="004B5CD9" w:rsidRDefault="007C5856" w:rsidP="00E55379">
            <w:pPr>
              <w:spacing w:before="120"/>
              <w:rPr>
                <w:rFonts w:ascii="Arial" w:eastAsia="Times New Roman" w:hAnsi="Arial" w:cs="Arial"/>
                <w:b/>
                <w:bCs/>
                <w:color w:val="FFFFFF" w:themeColor="background1"/>
                <w:lang w:eastAsia="en-GB"/>
              </w:rPr>
            </w:pPr>
          </w:p>
        </w:tc>
        <w:tc>
          <w:tcPr>
            <w:tcW w:w="1701" w:type="dxa"/>
            <w:shd w:val="clear" w:color="auto" w:fill="0077D0"/>
          </w:tcPr>
          <w:p w14:paraId="0A7E3380" w14:textId="7D8A459F" w:rsidR="007C5856" w:rsidRPr="004B5CD9" w:rsidRDefault="007C5856" w:rsidP="00E55379">
            <w:pPr>
              <w:spacing w:before="120"/>
              <w:jc w:val="center"/>
              <w:rPr>
                <w:rFonts w:ascii="Arial" w:eastAsia="Times New Roman" w:hAnsi="Arial" w:cs="Arial"/>
                <w:b/>
                <w:bCs/>
                <w:color w:val="FFFFFF" w:themeColor="background1"/>
                <w:lang w:eastAsia="en-GB"/>
              </w:rPr>
            </w:pPr>
            <w:r w:rsidRPr="004B5CD9">
              <w:rPr>
                <w:rFonts w:ascii="Arial" w:eastAsia="Times New Roman" w:hAnsi="Arial" w:cs="Arial"/>
                <w:b/>
                <w:bCs/>
                <w:color w:val="FFFFFF" w:themeColor="background1"/>
                <w:lang w:eastAsia="en-GB"/>
              </w:rPr>
              <w:t>October</w:t>
            </w:r>
          </w:p>
        </w:tc>
        <w:tc>
          <w:tcPr>
            <w:tcW w:w="1701" w:type="dxa"/>
            <w:shd w:val="clear" w:color="auto" w:fill="0077D0"/>
          </w:tcPr>
          <w:p w14:paraId="0E674329" w14:textId="119E0F48" w:rsidR="007C5856" w:rsidRPr="004B5CD9" w:rsidRDefault="007C5856" w:rsidP="00E55379">
            <w:pPr>
              <w:spacing w:before="120"/>
              <w:jc w:val="center"/>
              <w:rPr>
                <w:rFonts w:ascii="Arial" w:eastAsia="Times New Roman" w:hAnsi="Arial" w:cs="Arial"/>
                <w:b/>
                <w:bCs/>
                <w:color w:val="FFFFFF" w:themeColor="background1"/>
                <w:lang w:eastAsia="en-GB"/>
              </w:rPr>
            </w:pPr>
            <w:r w:rsidRPr="004B5CD9">
              <w:rPr>
                <w:rFonts w:ascii="Arial" w:eastAsia="Times New Roman" w:hAnsi="Arial" w:cs="Arial"/>
                <w:b/>
                <w:bCs/>
                <w:color w:val="FFFFFF" w:themeColor="background1"/>
                <w:lang w:eastAsia="en-GB"/>
              </w:rPr>
              <w:t>November</w:t>
            </w:r>
          </w:p>
        </w:tc>
        <w:tc>
          <w:tcPr>
            <w:tcW w:w="1701" w:type="dxa"/>
            <w:shd w:val="clear" w:color="auto" w:fill="0077D0"/>
          </w:tcPr>
          <w:p w14:paraId="268A62FC" w14:textId="2AD392C0" w:rsidR="007C5856" w:rsidRPr="004B5CD9" w:rsidRDefault="007C5856" w:rsidP="00E55379">
            <w:pPr>
              <w:spacing w:before="120"/>
              <w:jc w:val="center"/>
              <w:rPr>
                <w:rFonts w:ascii="Arial" w:eastAsia="Times New Roman" w:hAnsi="Arial" w:cs="Arial"/>
                <w:b/>
                <w:bCs/>
                <w:color w:val="FFFFFF" w:themeColor="background1"/>
                <w:lang w:eastAsia="en-GB"/>
              </w:rPr>
            </w:pPr>
            <w:r w:rsidRPr="004B5CD9">
              <w:rPr>
                <w:rFonts w:ascii="Arial" w:eastAsia="Times New Roman" w:hAnsi="Arial" w:cs="Arial"/>
                <w:b/>
                <w:bCs/>
                <w:color w:val="FFFFFF" w:themeColor="background1"/>
                <w:lang w:eastAsia="en-GB"/>
              </w:rPr>
              <w:t>December</w:t>
            </w:r>
          </w:p>
        </w:tc>
      </w:tr>
      <w:tr w:rsidR="007C5856" w:rsidRPr="004B5CD9" w14:paraId="3B0BDFD5" w14:textId="77777777" w:rsidTr="00E55379">
        <w:trPr>
          <w:jc w:val="center"/>
        </w:trPr>
        <w:tc>
          <w:tcPr>
            <w:tcW w:w="2263" w:type="dxa"/>
          </w:tcPr>
          <w:p w14:paraId="0B156EB1" w14:textId="5196C78B" w:rsidR="007C5856" w:rsidRPr="004B5CD9" w:rsidRDefault="007C5856" w:rsidP="00E55379">
            <w:pPr>
              <w:spacing w:before="120"/>
              <w:rPr>
                <w:rFonts w:ascii="Arial" w:eastAsia="Times New Roman" w:hAnsi="Arial" w:cs="Arial"/>
                <w:lang w:eastAsia="en-GB"/>
              </w:rPr>
            </w:pPr>
            <w:r w:rsidRPr="004B5CD9">
              <w:rPr>
                <w:rFonts w:ascii="Arial" w:eastAsia="Times New Roman" w:hAnsi="Arial" w:cs="Arial"/>
                <w:lang w:eastAsia="en-GB"/>
              </w:rPr>
              <w:t>LD Deaths</w:t>
            </w:r>
          </w:p>
        </w:tc>
        <w:tc>
          <w:tcPr>
            <w:tcW w:w="1701" w:type="dxa"/>
          </w:tcPr>
          <w:p w14:paraId="50442C1B" w14:textId="1FCC6855" w:rsidR="007C5856" w:rsidRPr="004B5CD9" w:rsidRDefault="007C5856" w:rsidP="00E55379">
            <w:pPr>
              <w:spacing w:before="120"/>
              <w:jc w:val="center"/>
              <w:rPr>
                <w:rFonts w:ascii="Arial" w:eastAsia="Times New Roman" w:hAnsi="Arial" w:cs="Arial"/>
                <w:lang w:eastAsia="en-GB"/>
              </w:rPr>
            </w:pPr>
            <w:r w:rsidRPr="004B5CD9">
              <w:rPr>
                <w:rFonts w:ascii="Arial" w:eastAsia="Times New Roman" w:hAnsi="Arial" w:cs="Arial"/>
                <w:lang w:eastAsia="en-GB"/>
              </w:rPr>
              <w:t>1</w:t>
            </w:r>
          </w:p>
        </w:tc>
        <w:tc>
          <w:tcPr>
            <w:tcW w:w="1701" w:type="dxa"/>
          </w:tcPr>
          <w:p w14:paraId="3D51C34B" w14:textId="7FCB368E" w:rsidR="007C5856" w:rsidRPr="004B5CD9" w:rsidRDefault="007C5856" w:rsidP="00E55379">
            <w:pPr>
              <w:spacing w:before="120"/>
              <w:jc w:val="center"/>
              <w:rPr>
                <w:rFonts w:ascii="Arial" w:eastAsia="Times New Roman" w:hAnsi="Arial" w:cs="Arial"/>
                <w:lang w:eastAsia="en-GB"/>
              </w:rPr>
            </w:pPr>
            <w:r w:rsidRPr="004B5CD9">
              <w:rPr>
                <w:rFonts w:ascii="Arial" w:eastAsia="Times New Roman" w:hAnsi="Arial" w:cs="Arial"/>
                <w:lang w:eastAsia="en-GB"/>
              </w:rPr>
              <w:t>2</w:t>
            </w:r>
          </w:p>
        </w:tc>
        <w:tc>
          <w:tcPr>
            <w:tcW w:w="1701" w:type="dxa"/>
          </w:tcPr>
          <w:p w14:paraId="625CDD4D" w14:textId="31F8CFD6" w:rsidR="007C5856" w:rsidRPr="004B5CD9" w:rsidRDefault="007C5856" w:rsidP="00E55379">
            <w:pPr>
              <w:spacing w:before="120"/>
              <w:jc w:val="center"/>
              <w:rPr>
                <w:rFonts w:ascii="Arial" w:eastAsia="Times New Roman" w:hAnsi="Arial" w:cs="Arial"/>
                <w:lang w:eastAsia="en-GB"/>
              </w:rPr>
            </w:pPr>
            <w:r w:rsidRPr="004B5CD9">
              <w:rPr>
                <w:rFonts w:ascii="Arial" w:eastAsia="Times New Roman" w:hAnsi="Arial" w:cs="Arial"/>
                <w:lang w:eastAsia="en-GB"/>
              </w:rPr>
              <w:t>2</w:t>
            </w:r>
          </w:p>
        </w:tc>
      </w:tr>
      <w:tr w:rsidR="007C5856" w:rsidRPr="004B5CD9" w14:paraId="40C0DD43" w14:textId="77777777" w:rsidTr="00E55379">
        <w:trPr>
          <w:jc w:val="center"/>
        </w:trPr>
        <w:tc>
          <w:tcPr>
            <w:tcW w:w="2263" w:type="dxa"/>
          </w:tcPr>
          <w:p w14:paraId="1376E693" w14:textId="6E79E6DE" w:rsidR="007C5856" w:rsidRPr="004B5CD9" w:rsidRDefault="007C5856" w:rsidP="00E55379">
            <w:pPr>
              <w:spacing w:before="120"/>
              <w:rPr>
                <w:rFonts w:ascii="Arial" w:eastAsia="Times New Roman" w:hAnsi="Arial" w:cs="Arial"/>
                <w:lang w:eastAsia="en-GB"/>
              </w:rPr>
            </w:pPr>
            <w:r w:rsidRPr="004B5CD9">
              <w:rPr>
                <w:rFonts w:ascii="Arial" w:eastAsia="Times New Roman" w:hAnsi="Arial" w:cs="Arial"/>
                <w:lang w:eastAsia="en-GB"/>
              </w:rPr>
              <w:t xml:space="preserve">Autism </w:t>
            </w:r>
          </w:p>
        </w:tc>
        <w:tc>
          <w:tcPr>
            <w:tcW w:w="1701" w:type="dxa"/>
          </w:tcPr>
          <w:p w14:paraId="53785949" w14:textId="48AA6242" w:rsidR="007C5856" w:rsidRPr="004B5CD9" w:rsidRDefault="00902DEE" w:rsidP="00E55379">
            <w:pPr>
              <w:spacing w:before="120"/>
              <w:jc w:val="center"/>
              <w:rPr>
                <w:rFonts w:ascii="Arial" w:eastAsia="Times New Roman" w:hAnsi="Arial" w:cs="Arial"/>
                <w:lang w:eastAsia="en-GB"/>
              </w:rPr>
            </w:pPr>
            <w:r w:rsidRPr="004B5CD9">
              <w:rPr>
                <w:rFonts w:ascii="Arial" w:eastAsia="Times New Roman" w:hAnsi="Arial" w:cs="Arial"/>
                <w:lang w:eastAsia="en-GB"/>
              </w:rPr>
              <w:t>0</w:t>
            </w:r>
          </w:p>
        </w:tc>
        <w:tc>
          <w:tcPr>
            <w:tcW w:w="1701" w:type="dxa"/>
          </w:tcPr>
          <w:p w14:paraId="472B1F65" w14:textId="4B885C29" w:rsidR="007C5856" w:rsidRPr="004B5CD9" w:rsidRDefault="00902DEE" w:rsidP="00E55379">
            <w:pPr>
              <w:spacing w:before="120"/>
              <w:jc w:val="center"/>
              <w:rPr>
                <w:rFonts w:ascii="Arial" w:eastAsia="Times New Roman" w:hAnsi="Arial" w:cs="Arial"/>
                <w:lang w:eastAsia="en-GB"/>
              </w:rPr>
            </w:pPr>
            <w:r w:rsidRPr="004B5CD9">
              <w:rPr>
                <w:rFonts w:ascii="Arial" w:eastAsia="Times New Roman" w:hAnsi="Arial" w:cs="Arial"/>
                <w:lang w:eastAsia="en-GB"/>
              </w:rPr>
              <w:t>0</w:t>
            </w:r>
          </w:p>
        </w:tc>
        <w:tc>
          <w:tcPr>
            <w:tcW w:w="1701" w:type="dxa"/>
          </w:tcPr>
          <w:p w14:paraId="4B063516" w14:textId="49447719" w:rsidR="007C5856" w:rsidRPr="004B5CD9" w:rsidRDefault="00902DEE" w:rsidP="00E55379">
            <w:pPr>
              <w:spacing w:before="120"/>
              <w:jc w:val="center"/>
              <w:rPr>
                <w:rFonts w:ascii="Arial" w:eastAsia="Times New Roman" w:hAnsi="Arial" w:cs="Arial"/>
                <w:lang w:eastAsia="en-GB"/>
              </w:rPr>
            </w:pPr>
            <w:r w:rsidRPr="004B5CD9">
              <w:rPr>
                <w:rFonts w:ascii="Arial" w:eastAsia="Times New Roman" w:hAnsi="Arial" w:cs="Arial"/>
                <w:lang w:eastAsia="en-GB"/>
              </w:rPr>
              <w:t>0</w:t>
            </w:r>
          </w:p>
        </w:tc>
      </w:tr>
    </w:tbl>
    <w:p w14:paraId="03205E43" w14:textId="0BCCD8F4" w:rsidR="00DF481B" w:rsidRPr="004B5CD9" w:rsidRDefault="00DF481B" w:rsidP="004B5CD9">
      <w:pPr>
        <w:pStyle w:val="NormalWeb"/>
        <w:spacing w:before="0" w:beforeAutospacing="0" w:after="0" w:afterAutospacing="0"/>
        <w:rPr>
          <w:rFonts w:ascii="Arial" w:hAnsi="Arial" w:cs="Arial"/>
          <w:sz w:val="22"/>
          <w:szCs w:val="22"/>
        </w:rPr>
      </w:pPr>
    </w:p>
    <w:p w14:paraId="2C96F1BF" w14:textId="3963A3C7" w:rsidR="00154855" w:rsidRPr="009B5FB2" w:rsidRDefault="005E149E" w:rsidP="009B5FB2">
      <w:pPr>
        <w:spacing w:after="0" w:line="240" w:lineRule="auto"/>
        <w:rPr>
          <w:rFonts w:ascii="Arial" w:hAnsi="Arial" w:cs="Arial"/>
        </w:rPr>
      </w:pPr>
      <w:r w:rsidRPr="004B5CD9">
        <w:rPr>
          <w:rFonts w:ascii="Arial" w:hAnsi="Arial" w:cs="Arial"/>
        </w:rPr>
        <w:t xml:space="preserve">The Trust reviews all deaths relating to patients diagnosed with a Learning Disability. The Trust also currently sends all Learning Disability deaths that have been reported through the Datix system to the LeDeR programme. </w:t>
      </w:r>
      <w:r w:rsidR="008C750D" w:rsidRPr="004B5CD9">
        <w:rPr>
          <w:rFonts w:ascii="Arial" w:hAnsi="Arial" w:cs="Arial"/>
        </w:rPr>
        <w:t xml:space="preserve">Scoping is planned with operational services through their Learning the Lessons subgroups to consider </w:t>
      </w:r>
      <w:r w:rsidR="00EC7883" w:rsidRPr="004B5CD9">
        <w:rPr>
          <w:rFonts w:ascii="Arial" w:hAnsi="Arial" w:cs="Arial"/>
        </w:rPr>
        <w:t>the most appropriate management process for Learning Disability deaths moving forward.</w:t>
      </w:r>
      <w:r w:rsidR="009B5FB2">
        <w:rPr>
          <w:rFonts w:ascii="Arial" w:hAnsi="Arial" w:cs="Arial"/>
        </w:rPr>
        <w:br w:type="page"/>
      </w:r>
    </w:p>
    <w:p w14:paraId="2E725BA3" w14:textId="0A823BBE" w:rsidR="006B76C2" w:rsidRPr="004B5CD9" w:rsidRDefault="006B76C2" w:rsidP="004B5CD9">
      <w:pPr>
        <w:pStyle w:val="NormalWeb"/>
        <w:spacing w:before="0" w:beforeAutospacing="0" w:after="0" w:afterAutospacing="0"/>
        <w:rPr>
          <w:rFonts w:ascii="Arial" w:hAnsi="Arial" w:cs="Arial"/>
          <w:sz w:val="22"/>
          <w:szCs w:val="22"/>
        </w:rPr>
      </w:pPr>
      <w:r w:rsidRPr="004B5CD9">
        <w:rPr>
          <w:rFonts w:ascii="Arial" w:hAnsi="Arial" w:cs="Arial"/>
          <w:sz w:val="22"/>
          <w:szCs w:val="22"/>
        </w:rPr>
        <w:lastRenderedPageBreak/>
        <w:t>From 1 January 2022</w:t>
      </w:r>
      <w:r w:rsidR="0047038B" w:rsidRPr="004B5CD9">
        <w:rPr>
          <w:rFonts w:ascii="Arial" w:hAnsi="Arial" w:cs="Arial"/>
          <w:sz w:val="22"/>
          <w:szCs w:val="22"/>
        </w:rPr>
        <w:t>,</w:t>
      </w:r>
      <w:r w:rsidRPr="004B5CD9">
        <w:rPr>
          <w:rFonts w:ascii="Arial" w:hAnsi="Arial" w:cs="Arial"/>
          <w:sz w:val="22"/>
          <w:szCs w:val="22"/>
        </w:rPr>
        <w:t xml:space="preserve"> the Trust has been required to report any death of a patient with autism</w:t>
      </w:r>
      <w:r w:rsidR="0047038B" w:rsidRPr="004B5CD9">
        <w:rPr>
          <w:rFonts w:ascii="Arial" w:hAnsi="Arial" w:cs="Arial"/>
          <w:sz w:val="22"/>
          <w:szCs w:val="22"/>
        </w:rPr>
        <w:t>. T</w:t>
      </w:r>
      <w:r w:rsidR="004A365B" w:rsidRPr="004B5CD9">
        <w:rPr>
          <w:rFonts w:ascii="Arial" w:hAnsi="Arial" w:cs="Arial"/>
          <w:sz w:val="22"/>
          <w:szCs w:val="22"/>
        </w:rPr>
        <w:t>o date</w:t>
      </w:r>
      <w:r w:rsidR="0047038B" w:rsidRPr="004B5CD9">
        <w:rPr>
          <w:rFonts w:ascii="Arial" w:hAnsi="Arial" w:cs="Arial"/>
          <w:sz w:val="22"/>
          <w:szCs w:val="22"/>
        </w:rPr>
        <w:t>,</w:t>
      </w:r>
      <w:r w:rsidR="004A365B" w:rsidRPr="004B5CD9">
        <w:rPr>
          <w:rFonts w:ascii="Arial" w:hAnsi="Arial" w:cs="Arial"/>
          <w:sz w:val="22"/>
          <w:szCs w:val="22"/>
        </w:rPr>
        <w:t xml:space="preserve"> </w:t>
      </w:r>
      <w:r w:rsidR="00E55379">
        <w:rPr>
          <w:rFonts w:ascii="Arial" w:hAnsi="Arial" w:cs="Arial"/>
          <w:sz w:val="22"/>
          <w:szCs w:val="22"/>
        </w:rPr>
        <w:t>12</w:t>
      </w:r>
      <w:r w:rsidR="004A365B" w:rsidRPr="004B5CD9">
        <w:rPr>
          <w:rFonts w:ascii="Arial" w:hAnsi="Arial" w:cs="Arial"/>
          <w:sz w:val="22"/>
          <w:szCs w:val="22"/>
        </w:rPr>
        <w:t xml:space="preserve"> patient</w:t>
      </w:r>
      <w:r w:rsidR="0063521D" w:rsidRPr="004B5CD9">
        <w:rPr>
          <w:rFonts w:ascii="Arial" w:hAnsi="Arial" w:cs="Arial"/>
          <w:sz w:val="22"/>
          <w:szCs w:val="22"/>
        </w:rPr>
        <w:t>s</w:t>
      </w:r>
      <w:r w:rsidR="004A365B" w:rsidRPr="004B5CD9">
        <w:rPr>
          <w:rFonts w:ascii="Arial" w:hAnsi="Arial" w:cs="Arial"/>
          <w:sz w:val="22"/>
          <w:szCs w:val="22"/>
        </w:rPr>
        <w:t xml:space="preserve"> ha</w:t>
      </w:r>
      <w:r w:rsidR="00BF5C9F" w:rsidRPr="004B5CD9">
        <w:rPr>
          <w:rFonts w:ascii="Arial" w:hAnsi="Arial" w:cs="Arial"/>
          <w:sz w:val="22"/>
          <w:szCs w:val="22"/>
        </w:rPr>
        <w:t>ve</w:t>
      </w:r>
      <w:r w:rsidR="004A365B" w:rsidRPr="004B5CD9">
        <w:rPr>
          <w:rFonts w:ascii="Arial" w:hAnsi="Arial" w:cs="Arial"/>
          <w:sz w:val="22"/>
          <w:szCs w:val="22"/>
        </w:rPr>
        <w:t xml:space="preserve"> been referred.</w:t>
      </w:r>
    </w:p>
    <w:p w14:paraId="68AFE8F6" w14:textId="77777777" w:rsidR="005E149E" w:rsidRPr="004B5CD9" w:rsidRDefault="005E149E" w:rsidP="004B5CD9">
      <w:pPr>
        <w:pStyle w:val="NormalWeb"/>
        <w:spacing w:before="0" w:beforeAutospacing="0" w:after="0" w:afterAutospacing="0"/>
        <w:rPr>
          <w:rFonts w:ascii="Arial" w:hAnsi="Arial" w:cs="Arial"/>
          <w:sz w:val="22"/>
          <w:szCs w:val="22"/>
        </w:rPr>
      </w:pPr>
    </w:p>
    <w:p w14:paraId="3F892725" w14:textId="0DA2CEA3" w:rsidR="005E149E" w:rsidRPr="004B5CD9" w:rsidRDefault="00F10BF4" w:rsidP="004B5CD9">
      <w:pPr>
        <w:pStyle w:val="NormalWeb"/>
        <w:spacing w:before="0" w:beforeAutospacing="0" w:after="0" w:afterAutospacing="0"/>
        <w:rPr>
          <w:rFonts w:ascii="Arial" w:hAnsi="Arial" w:cs="Arial"/>
          <w:sz w:val="22"/>
          <w:szCs w:val="22"/>
        </w:rPr>
      </w:pPr>
      <w:r w:rsidRPr="004B5CD9">
        <w:rPr>
          <w:rFonts w:ascii="Arial" w:hAnsi="Arial" w:cs="Arial"/>
          <w:sz w:val="22"/>
          <w:szCs w:val="22"/>
        </w:rPr>
        <w:t xml:space="preserve">During </w:t>
      </w:r>
      <w:r w:rsidR="00A2294F" w:rsidRPr="004B5CD9">
        <w:rPr>
          <w:rFonts w:ascii="Arial" w:hAnsi="Arial" w:cs="Arial"/>
          <w:sz w:val="22"/>
          <w:szCs w:val="22"/>
        </w:rPr>
        <w:t xml:space="preserve">1 </w:t>
      </w:r>
      <w:r w:rsidR="00D444D1" w:rsidRPr="004B5CD9">
        <w:rPr>
          <w:rFonts w:ascii="Arial" w:hAnsi="Arial" w:cs="Arial"/>
          <w:sz w:val="22"/>
          <w:szCs w:val="22"/>
        </w:rPr>
        <w:t>October</w:t>
      </w:r>
      <w:r w:rsidR="00A2294F" w:rsidRPr="004B5CD9">
        <w:rPr>
          <w:rFonts w:ascii="Arial" w:hAnsi="Arial" w:cs="Arial"/>
          <w:sz w:val="22"/>
          <w:szCs w:val="22"/>
        </w:rPr>
        <w:t xml:space="preserve"> 2024 to 3</w:t>
      </w:r>
      <w:r w:rsidR="00D444D1" w:rsidRPr="004B5CD9">
        <w:rPr>
          <w:rFonts w:ascii="Arial" w:hAnsi="Arial" w:cs="Arial"/>
          <w:sz w:val="22"/>
          <w:szCs w:val="22"/>
        </w:rPr>
        <w:t>1</w:t>
      </w:r>
      <w:r w:rsidR="0098378C">
        <w:rPr>
          <w:rFonts w:ascii="Arial" w:hAnsi="Arial" w:cs="Arial"/>
          <w:sz w:val="22"/>
          <w:szCs w:val="22"/>
        </w:rPr>
        <w:t xml:space="preserve"> </w:t>
      </w:r>
      <w:r w:rsidR="00D444D1" w:rsidRPr="004B5CD9">
        <w:rPr>
          <w:rFonts w:ascii="Arial" w:hAnsi="Arial" w:cs="Arial"/>
          <w:sz w:val="22"/>
          <w:szCs w:val="22"/>
        </w:rPr>
        <w:t>December</w:t>
      </w:r>
      <w:r w:rsidR="00A2294F" w:rsidRPr="004B5CD9">
        <w:rPr>
          <w:rFonts w:ascii="Arial" w:hAnsi="Arial" w:cs="Arial"/>
          <w:sz w:val="22"/>
          <w:szCs w:val="22"/>
        </w:rPr>
        <w:t xml:space="preserve"> 2024</w:t>
      </w:r>
      <w:r w:rsidR="005E149E" w:rsidRPr="004B5CD9">
        <w:rPr>
          <w:rFonts w:ascii="Arial" w:hAnsi="Arial" w:cs="Arial"/>
          <w:sz w:val="22"/>
          <w:szCs w:val="22"/>
        </w:rPr>
        <w:t xml:space="preserve">, the Trust has recorded </w:t>
      </w:r>
      <w:r w:rsidR="0098378C">
        <w:rPr>
          <w:rFonts w:ascii="Arial" w:hAnsi="Arial" w:cs="Arial"/>
          <w:sz w:val="22"/>
          <w:szCs w:val="22"/>
        </w:rPr>
        <w:t>five</w:t>
      </w:r>
      <w:r w:rsidR="00C35C07" w:rsidRPr="004B5CD9">
        <w:rPr>
          <w:rFonts w:ascii="Arial" w:hAnsi="Arial" w:cs="Arial"/>
          <w:sz w:val="22"/>
          <w:szCs w:val="22"/>
        </w:rPr>
        <w:t xml:space="preserve"> </w:t>
      </w:r>
      <w:r w:rsidR="005E149E" w:rsidRPr="004B5CD9">
        <w:rPr>
          <w:rFonts w:ascii="Arial" w:hAnsi="Arial" w:cs="Arial"/>
          <w:sz w:val="22"/>
          <w:szCs w:val="22"/>
        </w:rPr>
        <w:t>Learning Disability deaths. The Trust now receives a quarterly update from LeDeR which highlights national good practice and identified learning; this is shared in the Mortality monthly meeting.</w:t>
      </w:r>
    </w:p>
    <w:p w14:paraId="66F48635" w14:textId="77777777" w:rsidR="005E149E" w:rsidRPr="004B5CD9" w:rsidRDefault="005E149E" w:rsidP="004B5CD9">
      <w:pPr>
        <w:pStyle w:val="NormalWeb"/>
        <w:spacing w:before="0" w:beforeAutospacing="0" w:after="0" w:afterAutospacing="0"/>
        <w:rPr>
          <w:rFonts w:ascii="Arial" w:hAnsi="Arial" w:cs="Arial"/>
          <w:sz w:val="22"/>
          <w:szCs w:val="22"/>
        </w:rPr>
      </w:pPr>
    </w:p>
    <w:p w14:paraId="4DCD9BB6" w14:textId="706F7C06" w:rsidR="005E149E" w:rsidRPr="004B5CD9" w:rsidRDefault="005E149E" w:rsidP="0098378C">
      <w:pPr>
        <w:spacing w:after="0" w:line="240" w:lineRule="auto"/>
        <w:ind w:left="454" w:hanging="454"/>
        <w:rPr>
          <w:rFonts w:ascii="Arial" w:hAnsi="Arial" w:cs="Arial"/>
          <w:b/>
        </w:rPr>
      </w:pPr>
      <w:r w:rsidRPr="004B5CD9">
        <w:rPr>
          <w:rFonts w:ascii="Arial" w:hAnsi="Arial" w:cs="Arial"/>
          <w:b/>
        </w:rPr>
        <w:t>6.5</w:t>
      </w:r>
      <w:r w:rsidR="00E70A6F" w:rsidRPr="004B5CD9">
        <w:rPr>
          <w:rFonts w:ascii="Arial" w:hAnsi="Arial" w:cs="Arial"/>
          <w:b/>
        </w:rPr>
        <w:tab/>
      </w:r>
      <w:r w:rsidR="00AE2D44" w:rsidRPr="004B5CD9">
        <w:rPr>
          <w:rFonts w:ascii="Arial" w:hAnsi="Arial" w:cs="Arial"/>
          <w:b/>
        </w:rPr>
        <w:t>Analysis</w:t>
      </w:r>
      <w:r w:rsidR="00E70A6F" w:rsidRPr="004B5CD9">
        <w:rPr>
          <w:rFonts w:ascii="Arial" w:hAnsi="Arial" w:cs="Arial"/>
          <w:b/>
        </w:rPr>
        <w:t xml:space="preserve"> by </w:t>
      </w:r>
      <w:r w:rsidR="006D746E" w:rsidRPr="004B5CD9">
        <w:rPr>
          <w:rFonts w:ascii="Arial" w:hAnsi="Arial" w:cs="Arial"/>
          <w:b/>
        </w:rPr>
        <w:t>E</w:t>
      </w:r>
      <w:r w:rsidRPr="004B5CD9">
        <w:rPr>
          <w:rFonts w:ascii="Arial" w:hAnsi="Arial" w:cs="Arial"/>
          <w:b/>
        </w:rPr>
        <w:t>thnicity</w:t>
      </w:r>
    </w:p>
    <w:p w14:paraId="6D55BF8B" w14:textId="77777777" w:rsidR="00E124E5" w:rsidRPr="004B5CD9" w:rsidRDefault="00E124E5" w:rsidP="004B5CD9">
      <w:pPr>
        <w:spacing w:after="0" w:line="240" w:lineRule="auto"/>
        <w:rPr>
          <w:rFonts w:ascii="Arial" w:hAnsi="Arial" w:cs="Arial"/>
          <w:highlight w:val="green"/>
        </w:rPr>
      </w:pPr>
    </w:p>
    <w:p w14:paraId="63DB63A4" w14:textId="486ED287" w:rsidR="005E149E" w:rsidRPr="004B5CD9" w:rsidRDefault="005E149E" w:rsidP="004B5CD9">
      <w:pPr>
        <w:spacing w:after="0" w:line="240" w:lineRule="auto"/>
        <w:rPr>
          <w:rFonts w:ascii="Arial" w:hAnsi="Arial" w:cs="Arial"/>
        </w:rPr>
      </w:pPr>
      <w:r w:rsidRPr="004B5CD9">
        <w:rPr>
          <w:rFonts w:ascii="Arial" w:hAnsi="Arial" w:cs="Arial"/>
        </w:rPr>
        <w:t xml:space="preserve">White British is the highest recorded ethnicity group with </w:t>
      </w:r>
      <w:r w:rsidR="00DC1B6B" w:rsidRPr="004B5CD9">
        <w:rPr>
          <w:rFonts w:ascii="Arial" w:hAnsi="Arial" w:cs="Arial"/>
        </w:rPr>
        <w:t>435</w:t>
      </w:r>
      <w:r w:rsidR="009D3A8D" w:rsidRPr="004B5CD9">
        <w:rPr>
          <w:rFonts w:ascii="Arial" w:hAnsi="Arial" w:cs="Arial"/>
        </w:rPr>
        <w:t xml:space="preserve"> </w:t>
      </w:r>
      <w:r w:rsidRPr="004B5CD9">
        <w:rPr>
          <w:rFonts w:ascii="Arial" w:hAnsi="Arial" w:cs="Arial"/>
        </w:rPr>
        <w:t xml:space="preserve">recorded deaths, </w:t>
      </w:r>
      <w:r w:rsidR="00DC1B6B" w:rsidRPr="004B5CD9">
        <w:rPr>
          <w:rFonts w:ascii="Arial" w:hAnsi="Arial" w:cs="Arial"/>
        </w:rPr>
        <w:t>46</w:t>
      </w:r>
      <w:r w:rsidR="00F72725" w:rsidRPr="004B5CD9">
        <w:rPr>
          <w:rFonts w:ascii="Arial" w:hAnsi="Arial" w:cs="Arial"/>
        </w:rPr>
        <w:t xml:space="preserve"> </w:t>
      </w:r>
      <w:r w:rsidRPr="004B5CD9">
        <w:rPr>
          <w:rFonts w:ascii="Arial" w:hAnsi="Arial" w:cs="Arial"/>
        </w:rPr>
        <w:t>deaths had no recorded ethnicity assigned. The chart below outlines all ethnicity groups</w:t>
      </w:r>
      <w:r w:rsidR="0098378C">
        <w:rPr>
          <w:rFonts w:ascii="Arial" w:hAnsi="Arial" w:cs="Arial"/>
        </w:rPr>
        <w:t>:</w:t>
      </w:r>
    </w:p>
    <w:p w14:paraId="216633E4" w14:textId="77777777" w:rsidR="000876D4" w:rsidRPr="00217A3D" w:rsidRDefault="000876D4" w:rsidP="004B5CD9">
      <w:pPr>
        <w:spacing w:after="0" w:line="240" w:lineRule="auto"/>
        <w:rPr>
          <w:rFonts w:ascii="Arial" w:hAnsi="Arial" w:cs="Arial"/>
          <w:sz w:val="8"/>
          <w:szCs w:val="8"/>
        </w:rPr>
      </w:pPr>
    </w:p>
    <w:tbl>
      <w:tblPr>
        <w:tblW w:w="10201" w:type="dxa"/>
        <w:tblLook w:val="04A0" w:firstRow="1" w:lastRow="0" w:firstColumn="1" w:lastColumn="0" w:noHBand="0" w:noVBand="1"/>
      </w:tblPr>
      <w:tblGrid>
        <w:gridCol w:w="6658"/>
        <w:gridCol w:w="3543"/>
      </w:tblGrid>
      <w:tr w:rsidR="000876D4" w:rsidRPr="004B5CD9" w14:paraId="34EA0338" w14:textId="77777777" w:rsidTr="000876D4">
        <w:trPr>
          <w:trHeight w:val="315"/>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CA87A8" w14:textId="77777777" w:rsidR="000876D4" w:rsidRPr="004B5CD9" w:rsidRDefault="000876D4" w:rsidP="004B5CD9">
            <w:pPr>
              <w:spacing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Ethnicity</w:t>
            </w:r>
          </w:p>
        </w:tc>
        <w:tc>
          <w:tcPr>
            <w:tcW w:w="35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C32834" w14:textId="77777777" w:rsidR="000876D4" w:rsidRPr="004B5CD9" w:rsidRDefault="000876D4" w:rsidP="004B5CD9">
            <w:pPr>
              <w:spacing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Number of Deaths</w:t>
            </w:r>
          </w:p>
        </w:tc>
      </w:tr>
      <w:tr w:rsidR="00F56FB5" w:rsidRPr="004B5CD9" w14:paraId="50ADA2EB"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108A5B41" w14:textId="2AE63EC6"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 xml:space="preserve">White </w:t>
            </w:r>
            <w:r w:rsidR="002D0E07">
              <w:rPr>
                <w:rFonts w:ascii="Arial" w:hAnsi="Arial" w:cs="Arial"/>
                <w:color w:val="000000"/>
              </w:rPr>
              <w:t>–</w:t>
            </w:r>
            <w:r w:rsidRPr="004B5CD9">
              <w:rPr>
                <w:rFonts w:ascii="Arial" w:hAnsi="Arial" w:cs="Arial"/>
                <w:color w:val="000000"/>
              </w:rPr>
              <w:t xml:space="preserve"> British</w:t>
            </w:r>
          </w:p>
        </w:tc>
        <w:tc>
          <w:tcPr>
            <w:tcW w:w="3543" w:type="dxa"/>
            <w:tcBorders>
              <w:top w:val="nil"/>
              <w:left w:val="nil"/>
              <w:bottom w:val="single" w:sz="4" w:space="0" w:color="auto"/>
              <w:right w:val="single" w:sz="4" w:space="0" w:color="auto"/>
            </w:tcBorders>
            <w:shd w:val="clear" w:color="auto" w:fill="auto"/>
            <w:noWrap/>
            <w:vAlign w:val="bottom"/>
          </w:tcPr>
          <w:p w14:paraId="26DB9346" w14:textId="59CC4C10"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435</w:t>
            </w:r>
          </w:p>
        </w:tc>
      </w:tr>
      <w:tr w:rsidR="00F56FB5" w:rsidRPr="004B5CD9" w14:paraId="014880F1"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304FFDF2" w14:textId="3EF48BAA"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Other Ethnic Groups - Any other ethnic group</w:t>
            </w:r>
          </w:p>
        </w:tc>
        <w:tc>
          <w:tcPr>
            <w:tcW w:w="3543" w:type="dxa"/>
            <w:tcBorders>
              <w:top w:val="nil"/>
              <w:left w:val="nil"/>
              <w:bottom w:val="single" w:sz="4" w:space="0" w:color="auto"/>
              <w:right w:val="single" w:sz="4" w:space="0" w:color="auto"/>
            </w:tcBorders>
            <w:shd w:val="clear" w:color="auto" w:fill="auto"/>
            <w:noWrap/>
            <w:vAlign w:val="bottom"/>
          </w:tcPr>
          <w:p w14:paraId="07CDE7F6" w14:textId="56020941"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64</w:t>
            </w:r>
          </w:p>
        </w:tc>
      </w:tr>
      <w:tr w:rsidR="00F56FB5" w:rsidRPr="004B5CD9" w14:paraId="10A5C013"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55875658" w14:textId="0BE9E098"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Not Known</w:t>
            </w:r>
          </w:p>
        </w:tc>
        <w:tc>
          <w:tcPr>
            <w:tcW w:w="3543" w:type="dxa"/>
            <w:tcBorders>
              <w:top w:val="nil"/>
              <w:left w:val="nil"/>
              <w:bottom w:val="single" w:sz="4" w:space="0" w:color="auto"/>
              <w:right w:val="single" w:sz="4" w:space="0" w:color="auto"/>
            </w:tcBorders>
            <w:shd w:val="clear" w:color="auto" w:fill="auto"/>
            <w:noWrap/>
            <w:vAlign w:val="bottom"/>
          </w:tcPr>
          <w:p w14:paraId="44086209" w14:textId="5E0B48A6"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38</w:t>
            </w:r>
          </w:p>
        </w:tc>
      </w:tr>
      <w:tr w:rsidR="00F56FB5" w:rsidRPr="004B5CD9" w14:paraId="51DD99DD"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41C65359" w14:textId="7574AAF4"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White - Any other White background</w:t>
            </w:r>
          </w:p>
        </w:tc>
        <w:tc>
          <w:tcPr>
            <w:tcW w:w="3543" w:type="dxa"/>
            <w:tcBorders>
              <w:top w:val="nil"/>
              <w:left w:val="nil"/>
              <w:bottom w:val="single" w:sz="4" w:space="0" w:color="auto"/>
              <w:right w:val="single" w:sz="4" w:space="0" w:color="auto"/>
            </w:tcBorders>
            <w:shd w:val="clear" w:color="auto" w:fill="auto"/>
            <w:noWrap/>
            <w:vAlign w:val="bottom"/>
          </w:tcPr>
          <w:p w14:paraId="70784AE1" w14:textId="07090176"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14</w:t>
            </w:r>
          </w:p>
        </w:tc>
      </w:tr>
      <w:tr w:rsidR="00F56FB5" w:rsidRPr="004B5CD9" w14:paraId="16A908E3"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3D64A481" w14:textId="638F785A"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Asian or Asian British - Indian</w:t>
            </w:r>
          </w:p>
        </w:tc>
        <w:tc>
          <w:tcPr>
            <w:tcW w:w="3543" w:type="dxa"/>
            <w:tcBorders>
              <w:top w:val="nil"/>
              <w:left w:val="nil"/>
              <w:bottom w:val="single" w:sz="4" w:space="0" w:color="auto"/>
              <w:right w:val="single" w:sz="4" w:space="0" w:color="auto"/>
            </w:tcBorders>
            <w:shd w:val="clear" w:color="auto" w:fill="auto"/>
            <w:noWrap/>
            <w:vAlign w:val="bottom"/>
          </w:tcPr>
          <w:p w14:paraId="5907ADF2" w14:textId="00375B75"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9</w:t>
            </w:r>
          </w:p>
        </w:tc>
      </w:tr>
      <w:tr w:rsidR="00F56FB5" w:rsidRPr="004B5CD9" w14:paraId="5377A683"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6DC6BC7C" w14:textId="5F75DDCA"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Not stated</w:t>
            </w:r>
          </w:p>
        </w:tc>
        <w:tc>
          <w:tcPr>
            <w:tcW w:w="3543" w:type="dxa"/>
            <w:tcBorders>
              <w:top w:val="nil"/>
              <w:left w:val="nil"/>
              <w:bottom w:val="single" w:sz="4" w:space="0" w:color="auto"/>
              <w:right w:val="single" w:sz="4" w:space="0" w:color="auto"/>
            </w:tcBorders>
            <w:shd w:val="clear" w:color="auto" w:fill="auto"/>
            <w:noWrap/>
            <w:vAlign w:val="bottom"/>
          </w:tcPr>
          <w:p w14:paraId="7C39E0F2" w14:textId="3BA85D65"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8</w:t>
            </w:r>
          </w:p>
        </w:tc>
      </w:tr>
      <w:tr w:rsidR="00F56FB5" w:rsidRPr="004B5CD9" w14:paraId="6335487D"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20ACE64A" w14:textId="3D8DEC76"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 xml:space="preserve">White </w:t>
            </w:r>
            <w:r w:rsidR="002D0E07">
              <w:rPr>
                <w:rFonts w:ascii="Arial" w:hAnsi="Arial" w:cs="Arial"/>
                <w:color w:val="000000"/>
              </w:rPr>
              <w:t>–</w:t>
            </w:r>
            <w:r w:rsidRPr="004B5CD9">
              <w:rPr>
                <w:rFonts w:ascii="Arial" w:hAnsi="Arial" w:cs="Arial"/>
                <w:color w:val="000000"/>
              </w:rPr>
              <w:t xml:space="preserve"> Irish</w:t>
            </w:r>
          </w:p>
        </w:tc>
        <w:tc>
          <w:tcPr>
            <w:tcW w:w="3543" w:type="dxa"/>
            <w:tcBorders>
              <w:top w:val="nil"/>
              <w:left w:val="nil"/>
              <w:bottom w:val="single" w:sz="4" w:space="0" w:color="auto"/>
              <w:right w:val="single" w:sz="4" w:space="0" w:color="auto"/>
            </w:tcBorders>
            <w:shd w:val="clear" w:color="auto" w:fill="auto"/>
            <w:noWrap/>
            <w:vAlign w:val="bottom"/>
          </w:tcPr>
          <w:p w14:paraId="240B5E81" w14:textId="0D986ABA"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5</w:t>
            </w:r>
          </w:p>
        </w:tc>
      </w:tr>
      <w:tr w:rsidR="00F56FB5" w:rsidRPr="004B5CD9" w14:paraId="17297211"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0E2AC425" w14:textId="4682CAEE"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Asian or Asian British - Pakistani</w:t>
            </w:r>
          </w:p>
        </w:tc>
        <w:tc>
          <w:tcPr>
            <w:tcW w:w="3543" w:type="dxa"/>
            <w:tcBorders>
              <w:top w:val="nil"/>
              <w:left w:val="nil"/>
              <w:bottom w:val="single" w:sz="4" w:space="0" w:color="auto"/>
              <w:right w:val="single" w:sz="4" w:space="0" w:color="auto"/>
            </w:tcBorders>
            <w:shd w:val="clear" w:color="auto" w:fill="auto"/>
            <w:noWrap/>
            <w:vAlign w:val="bottom"/>
          </w:tcPr>
          <w:p w14:paraId="19B38607" w14:textId="5065322E"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3</w:t>
            </w:r>
          </w:p>
        </w:tc>
      </w:tr>
      <w:tr w:rsidR="00F56FB5" w:rsidRPr="004B5CD9" w14:paraId="442834A6"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2C09C082" w14:textId="035335BA"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Black or Black British - Caribbean</w:t>
            </w:r>
          </w:p>
        </w:tc>
        <w:tc>
          <w:tcPr>
            <w:tcW w:w="3543" w:type="dxa"/>
            <w:tcBorders>
              <w:top w:val="nil"/>
              <w:left w:val="nil"/>
              <w:bottom w:val="single" w:sz="4" w:space="0" w:color="auto"/>
              <w:right w:val="single" w:sz="4" w:space="0" w:color="auto"/>
            </w:tcBorders>
            <w:shd w:val="clear" w:color="auto" w:fill="auto"/>
            <w:noWrap/>
            <w:vAlign w:val="bottom"/>
          </w:tcPr>
          <w:p w14:paraId="0D2AF5E6" w14:textId="124D7678"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w:t>
            </w:r>
          </w:p>
        </w:tc>
      </w:tr>
      <w:tr w:rsidR="00F56FB5" w:rsidRPr="004B5CD9" w14:paraId="333C5F13"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557891B4" w14:textId="1F57B819"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Asian or Asian British - Any other Asian background</w:t>
            </w:r>
          </w:p>
        </w:tc>
        <w:tc>
          <w:tcPr>
            <w:tcW w:w="3543" w:type="dxa"/>
            <w:tcBorders>
              <w:top w:val="nil"/>
              <w:left w:val="nil"/>
              <w:bottom w:val="single" w:sz="4" w:space="0" w:color="auto"/>
              <w:right w:val="single" w:sz="4" w:space="0" w:color="auto"/>
            </w:tcBorders>
            <w:shd w:val="clear" w:color="auto" w:fill="auto"/>
            <w:noWrap/>
            <w:vAlign w:val="bottom"/>
          </w:tcPr>
          <w:p w14:paraId="0D7A9896" w14:textId="08A7F726"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F56FB5" w:rsidRPr="004B5CD9" w14:paraId="020026CB"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2E1838AA" w14:textId="43A6DFD0"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Black or Black British - African</w:t>
            </w:r>
          </w:p>
        </w:tc>
        <w:tc>
          <w:tcPr>
            <w:tcW w:w="3543" w:type="dxa"/>
            <w:tcBorders>
              <w:top w:val="nil"/>
              <w:left w:val="nil"/>
              <w:bottom w:val="single" w:sz="4" w:space="0" w:color="auto"/>
              <w:right w:val="single" w:sz="4" w:space="0" w:color="auto"/>
            </w:tcBorders>
            <w:shd w:val="clear" w:color="auto" w:fill="auto"/>
            <w:noWrap/>
            <w:vAlign w:val="bottom"/>
          </w:tcPr>
          <w:p w14:paraId="7242A6A6" w14:textId="31FDB5F5"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F56FB5" w:rsidRPr="004B5CD9" w14:paraId="74455090"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303BE082" w14:textId="70D8A358"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Mixed - Any other mixed background</w:t>
            </w:r>
          </w:p>
        </w:tc>
        <w:tc>
          <w:tcPr>
            <w:tcW w:w="3543" w:type="dxa"/>
            <w:tcBorders>
              <w:top w:val="nil"/>
              <w:left w:val="nil"/>
              <w:bottom w:val="single" w:sz="4" w:space="0" w:color="auto"/>
              <w:right w:val="single" w:sz="4" w:space="0" w:color="auto"/>
            </w:tcBorders>
            <w:shd w:val="clear" w:color="auto" w:fill="auto"/>
            <w:noWrap/>
            <w:vAlign w:val="bottom"/>
          </w:tcPr>
          <w:p w14:paraId="0420AACE" w14:textId="7F004AE6"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F56FB5" w:rsidRPr="004B5CD9" w14:paraId="5E6EB706" w14:textId="77777777" w:rsidTr="009B4B50">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tcPr>
          <w:p w14:paraId="22309934" w14:textId="494659FB" w:rsidR="00F56FB5" w:rsidRPr="004B5CD9" w:rsidRDefault="00F56FB5" w:rsidP="004B5CD9">
            <w:pPr>
              <w:spacing w:after="0" w:line="240" w:lineRule="auto"/>
              <w:rPr>
                <w:rFonts w:ascii="Arial" w:eastAsia="Times New Roman" w:hAnsi="Arial" w:cs="Arial"/>
                <w:color w:val="000000"/>
                <w:lang w:eastAsia="en-GB"/>
              </w:rPr>
            </w:pPr>
            <w:r w:rsidRPr="004B5CD9">
              <w:rPr>
                <w:rFonts w:ascii="Arial" w:hAnsi="Arial" w:cs="Arial"/>
                <w:color w:val="000000"/>
              </w:rPr>
              <w:t>Mixed - White and Black Caribbean</w:t>
            </w:r>
          </w:p>
        </w:tc>
        <w:tc>
          <w:tcPr>
            <w:tcW w:w="3543" w:type="dxa"/>
            <w:tcBorders>
              <w:top w:val="nil"/>
              <w:left w:val="nil"/>
              <w:bottom w:val="single" w:sz="4" w:space="0" w:color="auto"/>
              <w:right w:val="single" w:sz="4" w:space="0" w:color="auto"/>
            </w:tcBorders>
            <w:shd w:val="clear" w:color="auto" w:fill="auto"/>
            <w:noWrap/>
            <w:vAlign w:val="bottom"/>
          </w:tcPr>
          <w:p w14:paraId="3D722127" w14:textId="2AF6D8E9" w:rsidR="00F56FB5" w:rsidRPr="004B5CD9" w:rsidRDefault="00F56FB5"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0876D4" w:rsidRPr="004B5CD9" w14:paraId="37876FAC" w14:textId="77777777" w:rsidTr="000876D4">
        <w:trPr>
          <w:trHeight w:val="315"/>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936D57" w14:textId="77777777" w:rsidR="000876D4" w:rsidRPr="004B5CD9" w:rsidRDefault="000876D4" w:rsidP="004B5CD9">
            <w:pPr>
              <w:spacing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Grand Total</w:t>
            </w:r>
          </w:p>
        </w:tc>
        <w:tc>
          <w:tcPr>
            <w:tcW w:w="35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D6910C" w14:textId="318D40F1" w:rsidR="000876D4" w:rsidRPr="004B5CD9" w:rsidRDefault="00F56FB5" w:rsidP="004B5CD9">
            <w:pPr>
              <w:spacing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582</w:t>
            </w:r>
          </w:p>
        </w:tc>
      </w:tr>
    </w:tbl>
    <w:p w14:paraId="2A936C07" w14:textId="77777777" w:rsidR="000876D4" w:rsidRPr="004B5CD9" w:rsidRDefault="000876D4" w:rsidP="004B5CD9">
      <w:pPr>
        <w:spacing w:after="0" w:line="240" w:lineRule="auto"/>
        <w:rPr>
          <w:rFonts w:ascii="Arial" w:hAnsi="Arial" w:cs="Arial"/>
        </w:rPr>
      </w:pPr>
    </w:p>
    <w:p w14:paraId="3767E888" w14:textId="25B51CC6" w:rsidR="005E149E" w:rsidRPr="004B5CD9" w:rsidRDefault="00BA50F9" w:rsidP="004B5CD9">
      <w:pPr>
        <w:spacing w:after="0" w:line="240" w:lineRule="auto"/>
        <w:rPr>
          <w:rFonts w:ascii="Arial" w:hAnsi="Arial" w:cs="Arial"/>
          <w:b/>
        </w:rPr>
      </w:pPr>
      <w:r w:rsidRPr="004B5CD9">
        <w:rPr>
          <w:rFonts w:ascii="Arial" w:hAnsi="Arial" w:cs="Arial"/>
          <w:b/>
        </w:rPr>
        <w:t xml:space="preserve">6.6 </w:t>
      </w:r>
      <w:r w:rsidR="00AE2D44" w:rsidRPr="004B5CD9">
        <w:rPr>
          <w:rFonts w:ascii="Arial" w:hAnsi="Arial" w:cs="Arial"/>
          <w:b/>
        </w:rPr>
        <w:t>Analysis</w:t>
      </w:r>
      <w:r w:rsidR="005E149E" w:rsidRPr="004B5CD9">
        <w:rPr>
          <w:rFonts w:ascii="Arial" w:hAnsi="Arial" w:cs="Arial"/>
          <w:b/>
        </w:rPr>
        <w:t xml:space="preserve"> by </w:t>
      </w:r>
      <w:r w:rsidR="006D746E" w:rsidRPr="004B5CD9">
        <w:rPr>
          <w:rFonts w:ascii="Arial" w:hAnsi="Arial" w:cs="Arial"/>
          <w:b/>
        </w:rPr>
        <w:t>R</w:t>
      </w:r>
      <w:r w:rsidR="005E149E" w:rsidRPr="004B5CD9">
        <w:rPr>
          <w:rFonts w:ascii="Arial" w:hAnsi="Arial" w:cs="Arial"/>
          <w:b/>
        </w:rPr>
        <w:t>eligion</w:t>
      </w:r>
    </w:p>
    <w:p w14:paraId="28508CB0" w14:textId="77777777" w:rsidR="009D3A8D" w:rsidRPr="004B5CD9" w:rsidRDefault="009D3A8D" w:rsidP="004B5CD9">
      <w:pPr>
        <w:spacing w:after="0" w:line="240" w:lineRule="auto"/>
        <w:jc w:val="both"/>
        <w:rPr>
          <w:rFonts w:ascii="Arial" w:hAnsi="Arial" w:cs="Arial"/>
          <w:bCs/>
        </w:rPr>
      </w:pPr>
    </w:p>
    <w:p w14:paraId="35320944" w14:textId="5206CDF6" w:rsidR="005E149E" w:rsidRPr="004B5CD9" w:rsidRDefault="005E149E" w:rsidP="004B5CD9">
      <w:pPr>
        <w:spacing w:after="0" w:line="240" w:lineRule="auto"/>
        <w:rPr>
          <w:rFonts w:ascii="Arial" w:hAnsi="Arial" w:cs="Arial"/>
        </w:rPr>
      </w:pPr>
      <w:r w:rsidRPr="004B5CD9">
        <w:rPr>
          <w:rFonts w:ascii="Arial" w:hAnsi="Arial" w:cs="Arial"/>
        </w:rPr>
        <w:t xml:space="preserve">Christianity is the highest recorded religion group with </w:t>
      </w:r>
      <w:r w:rsidR="00160CB5" w:rsidRPr="004B5CD9">
        <w:rPr>
          <w:rFonts w:ascii="Arial" w:hAnsi="Arial" w:cs="Arial"/>
        </w:rPr>
        <w:t>238</w:t>
      </w:r>
      <w:r w:rsidRPr="004B5CD9">
        <w:rPr>
          <w:rFonts w:ascii="Arial" w:hAnsi="Arial" w:cs="Arial"/>
        </w:rPr>
        <w:t xml:space="preserve"> recorded deaths, </w:t>
      </w:r>
      <w:r w:rsidR="00CE2BFE" w:rsidRPr="004B5CD9">
        <w:rPr>
          <w:rFonts w:ascii="Arial" w:hAnsi="Arial" w:cs="Arial"/>
        </w:rPr>
        <w:t xml:space="preserve">141 </w:t>
      </w:r>
      <w:r w:rsidRPr="004B5CD9">
        <w:rPr>
          <w:rFonts w:ascii="Arial" w:hAnsi="Arial" w:cs="Arial"/>
        </w:rPr>
        <w:t>deaths had no recorded religion assigned. The chart below outlines all religion groups</w:t>
      </w:r>
      <w:r w:rsidR="002D0E07">
        <w:rPr>
          <w:rFonts w:ascii="Arial" w:hAnsi="Arial" w:cs="Arial"/>
        </w:rPr>
        <w:t>:</w:t>
      </w:r>
    </w:p>
    <w:p w14:paraId="5D8F75FD" w14:textId="77777777" w:rsidR="00820928" w:rsidRPr="00217A3D" w:rsidRDefault="00820928" w:rsidP="004B5CD9">
      <w:pPr>
        <w:spacing w:after="0" w:line="240" w:lineRule="auto"/>
        <w:rPr>
          <w:rFonts w:ascii="Arial" w:hAnsi="Arial" w:cs="Arial"/>
          <w:sz w:val="8"/>
          <w:szCs w:val="8"/>
        </w:rPr>
      </w:pPr>
    </w:p>
    <w:tbl>
      <w:tblPr>
        <w:tblW w:w="10075" w:type="dxa"/>
        <w:jc w:val="center"/>
        <w:tblLayout w:type="fixed"/>
        <w:tblLook w:val="04A0" w:firstRow="1" w:lastRow="0" w:firstColumn="1" w:lastColumn="0" w:noHBand="0" w:noVBand="1"/>
      </w:tblPr>
      <w:tblGrid>
        <w:gridCol w:w="6658"/>
        <w:gridCol w:w="3417"/>
      </w:tblGrid>
      <w:tr w:rsidR="003A4F2E" w:rsidRPr="004B5CD9" w14:paraId="0DD53006"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E69526" w14:textId="77777777" w:rsidR="003A4F2E" w:rsidRPr="004B5CD9" w:rsidRDefault="003A4F2E" w:rsidP="004B5CD9">
            <w:pPr>
              <w:spacing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Religion</w:t>
            </w:r>
          </w:p>
        </w:tc>
        <w:tc>
          <w:tcPr>
            <w:tcW w:w="341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F4A7C6" w14:textId="77777777" w:rsidR="003A4F2E" w:rsidRPr="004B5CD9" w:rsidRDefault="003A4F2E" w:rsidP="004B5CD9">
            <w:pPr>
              <w:spacing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Number of Deaths</w:t>
            </w:r>
          </w:p>
        </w:tc>
      </w:tr>
      <w:tr w:rsidR="001F67F1" w:rsidRPr="004B5CD9" w14:paraId="76D4F56B"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00888" w14:textId="14C27195"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Christian</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047425A6" w14:textId="568E86FC"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230</w:t>
            </w:r>
          </w:p>
        </w:tc>
      </w:tr>
      <w:tr w:rsidR="001F67F1" w:rsidRPr="004B5CD9" w14:paraId="40D139CF"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7F8D7" w14:textId="284321E9"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Not religious</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12722A66" w14:textId="5998B246"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166</w:t>
            </w:r>
          </w:p>
        </w:tc>
      </w:tr>
      <w:tr w:rsidR="001F67F1" w:rsidRPr="004B5CD9" w14:paraId="2D6DF77C"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3A13A" w14:textId="4F951A07"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(blank)</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616CFE8B" w14:textId="73B80E7B"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139</w:t>
            </w:r>
          </w:p>
        </w:tc>
      </w:tr>
      <w:tr w:rsidR="001F67F1" w:rsidRPr="004B5CD9" w14:paraId="159D59E0"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C137B" w14:textId="4D822456"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Church of England, follower of</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404441CE" w14:textId="107C2CD7"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13</w:t>
            </w:r>
          </w:p>
        </w:tc>
      </w:tr>
      <w:tr w:rsidR="001F67F1" w:rsidRPr="004B5CD9" w14:paraId="1F779B56"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D9847" w14:textId="17C40BA1"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Church of England</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6317B495" w14:textId="0CE9B1A0"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6</w:t>
            </w:r>
          </w:p>
        </w:tc>
      </w:tr>
      <w:tr w:rsidR="001F67F1" w:rsidRPr="004B5CD9" w14:paraId="6937FECA"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EF899" w14:textId="23143A35"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Christian religion</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69E3F4EC" w14:textId="4282EC4B"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4</w:t>
            </w:r>
          </w:p>
        </w:tc>
      </w:tr>
      <w:tr w:rsidR="001F67F1" w:rsidRPr="004B5CD9" w14:paraId="74139CC5"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66B4B" w14:textId="41FC1782"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Christian, follower of religion</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56BEE2E7" w14:textId="65684576"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4</w:t>
            </w:r>
          </w:p>
        </w:tc>
      </w:tr>
      <w:tr w:rsidR="001F67F1" w:rsidRPr="004B5CD9" w14:paraId="04299212"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21E24" w14:textId="174EEC1A"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Methodist</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47FB0632" w14:textId="0F19CF75"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3</w:t>
            </w:r>
          </w:p>
        </w:tc>
      </w:tr>
      <w:tr w:rsidR="001F67F1" w:rsidRPr="004B5CD9" w14:paraId="6D7F1243"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57137" w14:textId="4CBE5C94"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Religion NOS</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1C65190F" w14:textId="19F64B39"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w:t>
            </w:r>
          </w:p>
        </w:tc>
      </w:tr>
      <w:tr w:rsidR="001F67F1" w:rsidRPr="004B5CD9" w14:paraId="2353C736"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C8EEC" w14:textId="48DE61CB"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Roman Catholic</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1433D3DF" w14:textId="2A087DE4"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w:t>
            </w:r>
          </w:p>
        </w:tc>
      </w:tr>
      <w:tr w:rsidR="001F67F1" w:rsidRPr="004B5CD9" w14:paraId="66FBF3B4"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E3B1B" w14:textId="78AD0581"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Sikh</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1CFE6882" w14:textId="7891BBF5"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w:t>
            </w:r>
          </w:p>
        </w:tc>
      </w:tr>
      <w:tr w:rsidR="001F67F1" w:rsidRPr="004B5CD9" w14:paraId="333E481D"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3CC46" w14:textId="20DAD2D5"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Catholic religion</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18709CDB" w14:textId="22EBF17F"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w:t>
            </w:r>
          </w:p>
        </w:tc>
      </w:tr>
      <w:tr w:rsidR="001F67F1" w:rsidRPr="004B5CD9" w14:paraId="3AEEB74E"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1501B" w14:textId="1A1E383B"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Catholic: non Roman Catholic</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6B4B1843" w14:textId="3FAA5E22"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w:t>
            </w:r>
          </w:p>
        </w:tc>
      </w:tr>
      <w:tr w:rsidR="001F67F1" w:rsidRPr="004B5CD9" w14:paraId="60F40BCA"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AF3A4" w14:textId="001C4813"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Hindu</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2061BF49" w14:textId="6AD50237"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1F67F1" w:rsidRPr="004B5CD9" w14:paraId="6BA9A38E"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52E09" w14:textId="38EEE94F"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Jewish</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6373C717" w14:textId="0A37FC48"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1F67F1" w:rsidRPr="004B5CD9" w14:paraId="0504D0E8"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4757F" w14:textId="4F8CAE64"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Anglican</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6E4C6D2A" w14:textId="3C48A37D"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1F67F1" w:rsidRPr="004B5CD9" w14:paraId="16C2F0C4"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F1672" w14:textId="376E6C09"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Buddhist</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379CD5CD" w14:textId="29A1FDB3"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1F67F1" w:rsidRPr="004B5CD9" w14:paraId="70DFD544"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B5A21" w14:textId="6543AC66"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Agnostic movement</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15DD9668" w14:textId="706E87E2"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1F67F1" w:rsidRPr="004B5CD9" w14:paraId="1A5F25AE" w14:textId="77777777" w:rsidTr="001F67F1">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58877" w14:textId="073601BA"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Pagan</w:t>
            </w:r>
          </w:p>
        </w:tc>
        <w:tc>
          <w:tcPr>
            <w:tcW w:w="3417" w:type="dxa"/>
            <w:tcBorders>
              <w:top w:val="single" w:sz="4" w:space="0" w:color="auto"/>
              <w:left w:val="nil"/>
              <w:bottom w:val="single" w:sz="4" w:space="0" w:color="auto"/>
              <w:right w:val="single" w:sz="4" w:space="0" w:color="auto"/>
            </w:tcBorders>
            <w:shd w:val="clear" w:color="auto" w:fill="auto"/>
            <w:noWrap/>
            <w:vAlign w:val="bottom"/>
          </w:tcPr>
          <w:p w14:paraId="2D511353" w14:textId="47799A3F"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1F67F1" w:rsidRPr="004B5CD9" w14:paraId="0FA651F2" w14:textId="77777777" w:rsidTr="001F67F1">
        <w:trPr>
          <w:trHeight w:val="300"/>
          <w:jc w:val="center"/>
        </w:trPr>
        <w:tc>
          <w:tcPr>
            <w:tcW w:w="6658" w:type="dxa"/>
            <w:tcBorders>
              <w:top w:val="single" w:sz="4" w:space="0" w:color="auto"/>
              <w:left w:val="single" w:sz="4" w:space="0" w:color="auto"/>
              <w:right w:val="single" w:sz="4" w:space="0" w:color="auto"/>
            </w:tcBorders>
            <w:shd w:val="clear" w:color="auto" w:fill="auto"/>
            <w:noWrap/>
            <w:vAlign w:val="bottom"/>
          </w:tcPr>
          <w:p w14:paraId="4F354579" w14:textId="1F1F2B92" w:rsidR="001F67F1" w:rsidRPr="004B5CD9" w:rsidRDefault="001F67F1" w:rsidP="004B5CD9">
            <w:pPr>
              <w:spacing w:after="0" w:line="240" w:lineRule="auto"/>
              <w:rPr>
                <w:rFonts w:ascii="Arial" w:eastAsia="Times New Roman" w:hAnsi="Arial" w:cs="Arial"/>
                <w:color w:val="000000"/>
                <w:lang w:eastAsia="en-GB"/>
              </w:rPr>
            </w:pPr>
            <w:r w:rsidRPr="004B5CD9">
              <w:rPr>
                <w:rFonts w:ascii="Arial" w:hAnsi="Arial" w:cs="Arial"/>
                <w:color w:val="000000"/>
              </w:rPr>
              <w:t>Islam</w:t>
            </w:r>
          </w:p>
        </w:tc>
        <w:tc>
          <w:tcPr>
            <w:tcW w:w="3417" w:type="dxa"/>
            <w:tcBorders>
              <w:top w:val="single" w:sz="4" w:space="0" w:color="auto"/>
              <w:left w:val="nil"/>
              <w:right w:val="single" w:sz="4" w:space="0" w:color="auto"/>
            </w:tcBorders>
            <w:shd w:val="clear" w:color="auto" w:fill="auto"/>
            <w:noWrap/>
            <w:vAlign w:val="bottom"/>
          </w:tcPr>
          <w:p w14:paraId="49B714D0" w14:textId="09D73ADD" w:rsidR="001F67F1" w:rsidRPr="004B5CD9" w:rsidRDefault="001F67F1"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3A4F2E" w:rsidRPr="004B5CD9" w14:paraId="507D1E9C" w14:textId="77777777" w:rsidTr="00C0710E">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48E7EE" w14:textId="77777777" w:rsidR="003A4F2E" w:rsidRPr="004B5CD9" w:rsidRDefault="003A4F2E" w:rsidP="004B5CD9">
            <w:pPr>
              <w:spacing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Grand Total</w:t>
            </w:r>
          </w:p>
        </w:tc>
        <w:tc>
          <w:tcPr>
            <w:tcW w:w="341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F67896" w14:textId="779FA14E" w:rsidR="003A4F2E" w:rsidRPr="004B5CD9" w:rsidRDefault="001F67F1" w:rsidP="004B5CD9">
            <w:pPr>
              <w:spacing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582</w:t>
            </w:r>
          </w:p>
        </w:tc>
      </w:tr>
    </w:tbl>
    <w:p w14:paraId="7C450464" w14:textId="5518318D" w:rsidR="003A4F2E" w:rsidRPr="007B3451" w:rsidRDefault="007B3451" w:rsidP="007B3451">
      <w:pPr>
        <w:rPr>
          <w:rFonts w:ascii="Arial" w:hAnsi="Arial" w:cs="Arial"/>
          <w:sz w:val="2"/>
        </w:rPr>
      </w:pPr>
      <w:r w:rsidRPr="007B3451">
        <w:rPr>
          <w:rFonts w:ascii="Arial" w:hAnsi="Arial" w:cs="Arial"/>
          <w:sz w:val="2"/>
        </w:rPr>
        <w:br w:type="page"/>
      </w:r>
    </w:p>
    <w:p w14:paraId="583F8911" w14:textId="19A049D1" w:rsidR="005E149E" w:rsidRPr="004B5CD9" w:rsidRDefault="005E149E" w:rsidP="004B5CD9">
      <w:pPr>
        <w:spacing w:after="0" w:line="240" w:lineRule="auto"/>
        <w:ind w:left="454" w:hanging="454"/>
        <w:rPr>
          <w:rFonts w:ascii="Arial" w:hAnsi="Arial" w:cs="Arial"/>
          <w:b/>
        </w:rPr>
      </w:pPr>
      <w:r w:rsidRPr="004B5CD9">
        <w:rPr>
          <w:rFonts w:ascii="Arial" w:hAnsi="Arial" w:cs="Arial"/>
          <w:b/>
        </w:rPr>
        <w:lastRenderedPageBreak/>
        <w:t>6.7</w:t>
      </w:r>
      <w:r w:rsidRPr="004B5CD9">
        <w:rPr>
          <w:rFonts w:ascii="Arial" w:hAnsi="Arial" w:cs="Arial"/>
          <w:b/>
        </w:rPr>
        <w:tab/>
      </w:r>
      <w:r w:rsidR="001D55AF" w:rsidRPr="004B5CD9">
        <w:rPr>
          <w:rFonts w:ascii="Arial" w:hAnsi="Arial" w:cs="Arial"/>
          <w:b/>
        </w:rPr>
        <w:t>Analysis</w:t>
      </w:r>
      <w:r w:rsidRPr="004B5CD9">
        <w:rPr>
          <w:rFonts w:ascii="Arial" w:hAnsi="Arial" w:cs="Arial"/>
          <w:b/>
        </w:rPr>
        <w:t xml:space="preserve"> by </w:t>
      </w:r>
      <w:r w:rsidR="006D746E" w:rsidRPr="004B5CD9">
        <w:rPr>
          <w:rFonts w:ascii="Arial" w:hAnsi="Arial" w:cs="Arial"/>
          <w:b/>
        </w:rPr>
        <w:t>S</w:t>
      </w:r>
      <w:r w:rsidRPr="004B5CD9">
        <w:rPr>
          <w:rFonts w:ascii="Arial" w:hAnsi="Arial" w:cs="Arial"/>
          <w:b/>
        </w:rPr>
        <w:t xml:space="preserve">exual </w:t>
      </w:r>
      <w:r w:rsidR="006D746E" w:rsidRPr="004B5CD9">
        <w:rPr>
          <w:rFonts w:ascii="Arial" w:hAnsi="Arial" w:cs="Arial"/>
          <w:b/>
        </w:rPr>
        <w:t>O</w:t>
      </w:r>
      <w:r w:rsidRPr="004B5CD9">
        <w:rPr>
          <w:rFonts w:ascii="Arial" w:hAnsi="Arial" w:cs="Arial"/>
          <w:b/>
        </w:rPr>
        <w:t>rientation</w:t>
      </w:r>
    </w:p>
    <w:p w14:paraId="6DEFAA97" w14:textId="77777777" w:rsidR="00EB5028" w:rsidRPr="004B5CD9" w:rsidRDefault="00EB5028" w:rsidP="004B5CD9">
      <w:pPr>
        <w:spacing w:after="0" w:line="240" w:lineRule="auto"/>
        <w:rPr>
          <w:rFonts w:ascii="Arial" w:hAnsi="Arial" w:cs="Arial"/>
        </w:rPr>
      </w:pPr>
    </w:p>
    <w:p w14:paraId="20A337B5" w14:textId="77F443D7" w:rsidR="005E149E" w:rsidRPr="004B5CD9" w:rsidRDefault="005E149E" w:rsidP="004B5CD9">
      <w:pPr>
        <w:spacing w:after="0" w:line="240" w:lineRule="auto"/>
        <w:rPr>
          <w:rFonts w:ascii="Arial" w:hAnsi="Arial" w:cs="Arial"/>
        </w:rPr>
      </w:pPr>
      <w:r w:rsidRPr="004B5CD9">
        <w:rPr>
          <w:rFonts w:ascii="Arial" w:hAnsi="Arial" w:cs="Arial"/>
        </w:rPr>
        <w:t xml:space="preserve">Heterosexual or straight is the highest recorded sexual orientation group with </w:t>
      </w:r>
      <w:r w:rsidR="00EC408D" w:rsidRPr="004B5CD9">
        <w:rPr>
          <w:rFonts w:ascii="Arial" w:hAnsi="Arial" w:cs="Arial"/>
        </w:rPr>
        <w:t>402</w:t>
      </w:r>
      <w:r w:rsidR="00FE1024" w:rsidRPr="004B5CD9">
        <w:rPr>
          <w:rFonts w:ascii="Arial" w:hAnsi="Arial" w:cs="Arial"/>
        </w:rPr>
        <w:t xml:space="preserve"> </w:t>
      </w:r>
      <w:r w:rsidRPr="004B5CD9">
        <w:rPr>
          <w:rFonts w:ascii="Arial" w:hAnsi="Arial" w:cs="Arial"/>
        </w:rPr>
        <w:t>recorded deaths</w:t>
      </w:r>
      <w:r w:rsidR="009D3AC4">
        <w:rPr>
          <w:rFonts w:ascii="Arial" w:hAnsi="Arial" w:cs="Arial"/>
        </w:rPr>
        <w:t xml:space="preserve">. </w:t>
      </w:r>
      <w:r w:rsidR="00427A19" w:rsidRPr="004B5CD9">
        <w:rPr>
          <w:rFonts w:ascii="Arial" w:hAnsi="Arial" w:cs="Arial"/>
        </w:rPr>
        <w:t>159</w:t>
      </w:r>
      <w:r w:rsidR="00B97D6F" w:rsidRPr="004B5CD9">
        <w:rPr>
          <w:rFonts w:ascii="Arial" w:hAnsi="Arial" w:cs="Arial"/>
        </w:rPr>
        <w:t xml:space="preserve"> </w:t>
      </w:r>
      <w:r w:rsidRPr="004B5CD9">
        <w:rPr>
          <w:rFonts w:ascii="Arial" w:hAnsi="Arial" w:cs="Arial"/>
        </w:rPr>
        <w:t>have no recorded information available. The chart below outlines all sexual orientation groups</w:t>
      </w:r>
      <w:r w:rsidR="007E29E2" w:rsidRPr="004B5CD9">
        <w:rPr>
          <w:rFonts w:ascii="Arial" w:hAnsi="Arial" w:cs="Arial"/>
        </w:rPr>
        <w:t>:</w:t>
      </w:r>
    </w:p>
    <w:p w14:paraId="309CD87F" w14:textId="77777777" w:rsidR="005E149E" w:rsidRPr="00217A3D" w:rsidRDefault="005E149E" w:rsidP="004B5CD9">
      <w:pPr>
        <w:spacing w:after="0" w:line="240" w:lineRule="auto"/>
        <w:jc w:val="both"/>
        <w:rPr>
          <w:rFonts w:ascii="Arial" w:hAnsi="Arial" w:cs="Arial"/>
          <w:sz w:val="8"/>
          <w:szCs w:val="8"/>
        </w:rPr>
      </w:pPr>
    </w:p>
    <w:tbl>
      <w:tblPr>
        <w:tblW w:w="10206" w:type="dxa"/>
        <w:tblInd w:w="-5" w:type="dxa"/>
        <w:tblLayout w:type="fixed"/>
        <w:tblLook w:val="04A0" w:firstRow="1" w:lastRow="0" w:firstColumn="1" w:lastColumn="0" w:noHBand="0" w:noVBand="1"/>
      </w:tblPr>
      <w:tblGrid>
        <w:gridCol w:w="6663"/>
        <w:gridCol w:w="3543"/>
      </w:tblGrid>
      <w:tr w:rsidR="002675C1" w:rsidRPr="004B5CD9" w14:paraId="5581A250" w14:textId="77777777" w:rsidTr="009D3AC4">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A8E3DEC" w14:textId="77777777" w:rsidR="002675C1" w:rsidRPr="004B5CD9" w:rsidRDefault="002675C1" w:rsidP="004B5CD9">
            <w:pPr>
              <w:spacing w:after="0" w:line="240" w:lineRule="auto"/>
              <w:rPr>
                <w:rFonts w:ascii="Arial" w:eastAsia="Times New Roman" w:hAnsi="Arial" w:cs="Arial"/>
                <w:b/>
                <w:color w:val="000000"/>
                <w:lang w:eastAsia="en-GB"/>
              </w:rPr>
            </w:pPr>
            <w:r w:rsidRPr="004B5CD9">
              <w:rPr>
                <w:rFonts w:ascii="Arial" w:eastAsia="Times New Roman" w:hAnsi="Arial" w:cs="Arial"/>
                <w:b/>
                <w:color w:val="000000" w:themeColor="text1"/>
                <w:lang w:eastAsia="en-GB"/>
              </w:rPr>
              <w:t>Sexual Orientation</w:t>
            </w:r>
          </w:p>
        </w:tc>
        <w:tc>
          <w:tcPr>
            <w:tcW w:w="35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DEA6DC2" w14:textId="77777777" w:rsidR="002675C1" w:rsidRPr="004B5CD9" w:rsidRDefault="002675C1" w:rsidP="004B5CD9">
            <w:pPr>
              <w:spacing w:after="0" w:line="240" w:lineRule="auto"/>
              <w:jc w:val="center"/>
              <w:rPr>
                <w:rFonts w:ascii="Arial" w:eastAsia="Times New Roman" w:hAnsi="Arial" w:cs="Arial"/>
                <w:b/>
                <w:color w:val="000000"/>
                <w:lang w:eastAsia="en-GB"/>
              </w:rPr>
            </w:pPr>
            <w:r w:rsidRPr="004B5CD9">
              <w:rPr>
                <w:rFonts w:ascii="Arial" w:eastAsia="Times New Roman" w:hAnsi="Arial" w:cs="Arial"/>
                <w:b/>
                <w:color w:val="000000" w:themeColor="text1"/>
                <w:lang w:eastAsia="en-GB"/>
              </w:rPr>
              <w:t>Number of Deaths</w:t>
            </w:r>
          </w:p>
        </w:tc>
      </w:tr>
      <w:tr w:rsidR="00EC408D" w:rsidRPr="004B5CD9" w14:paraId="3889306F" w14:textId="77777777" w:rsidTr="009D3AC4">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93CB432" w14:textId="270677E3" w:rsidR="00EC408D" w:rsidRPr="004B5CD9" w:rsidRDefault="00EC408D" w:rsidP="004B5CD9">
            <w:pPr>
              <w:spacing w:after="0" w:line="240" w:lineRule="auto"/>
              <w:rPr>
                <w:rFonts w:ascii="Arial" w:eastAsia="Times New Roman" w:hAnsi="Arial" w:cs="Arial"/>
                <w:color w:val="000000"/>
                <w:lang w:eastAsia="en-GB"/>
              </w:rPr>
            </w:pPr>
            <w:r w:rsidRPr="004B5CD9">
              <w:rPr>
                <w:rFonts w:ascii="Arial" w:hAnsi="Arial" w:cs="Arial"/>
                <w:color w:val="000000"/>
              </w:rPr>
              <w:t>Heterosexual</w:t>
            </w:r>
          </w:p>
        </w:tc>
        <w:tc>
          <w:tcPr>
            <w:tcW w:w="3543" w:type="dxa"/>
            <w:tcBorders>
              <w:top w:val="nil"/>
              <w:left w:val="nil"/>
              <w:bottom w:val="single" w:sz="4" w:space="0" w:color="auto"/>
              <w:right w:val="single" w:sz="4" w:space="0" w:color="auto"/>
            </w:tcBorders>
            <w:shd w:val="clear" w:color="auto" w:fill="auto"/>
            <w:noWrap/>
            <w:vAlign w:val="bottom"/>
            <w:hideMark/>
          </w:tcPr>
          <w:p w14:paraId="58D9D9E6" w14:textId="204FB60C" w:rsidR="00EC408D" w:rsidRPr="004B5CD9" w:rsidRDefault="00EC408D"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402</w:t>
            </w:r>
          </w:p>
        </w:tc>
      </w:tr>
      <w:tr w:rsidR="00EC408D" w:rsidRPr="004B5CD9" w14:paraId="320ADEBF" w14:textId="77777777" w:rsidTr="009D3AC4">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213F10A" w14:textId="1CAB7976" w:rsidR="00EC408D" w:rsidRPr="004B5CD9" w:rsidRDefault="00EC408D" w:rsidP="004B5CD9">
            <w:pPr>
              <w:spacing w:after="0" w:line="240" w:lineRule="auto"/>
              <w:rPr>
                <w:rFonts w:ascii="Arial" w:eastAsia="Times New Roman" w:hAnsi="Arial" w:cs="Arial"/>
                <w:color w:val="000000"/>
                <w:lang w:eastAsia="en-GB"/>
              </w:rPr>
            </w:pPr>
            <w:r w:rsidRPr="004B5CD9">
              <w:rPr>
                <w:rFonts w:ascii="Arial" w:hAnsi="Arial" w:cs="Arial"/>
                <w:color w:val="000000"/>
              </w:rPr>
              <w:t>(blank)</w:t>
            </w:r>
          </w:p>
        </w:tc>
        <w:tc>
          <w:tcPr>
            <w:tcW w:w="3543" w:type="dxa"/>
            <w:tcBorders>
              <w:top w:val="nil"/>
              <w:left w:val="nil"/>
              <w:bottom w:val="single" w:sz="4" w:space="0" w:color="auto"/>
              <w:right w:val="single" w:sz="4" w:space="0" w:color="auto"/>
            </w:tcBorders>
            <w:shd w:val="clear" w:color="auto" w:fill="auto"/>
            <w:noWrap/>
            <w:vAlign w:val="bottom"/>
            <w:hideMark/>
          </w:tcPr>
          <w:p w14:paraId="5212B086" w14:textId="5D77F0AB" w:rsidR="00EC408D" w:rsidRPr="004B5CD9" w:rsidRDefault="00EC408D"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154</w:t>
            </w:r>
          </w:p>
        </w:tc>
      </w:tr>
      <w:tr w:rsidR="00EC408D" w:rsidRPr="004B5CD9" w14:paraId="3A30693E" w14:textId="77777777" w:rsidTr="009D3AC4">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6101C9A" w14:textId="302EF501" w:rsidR="00EC408D" w:rsidRPr="004B5CD9" w:rsidRDefault="00EC408D" w:rsidP="004B5CD9">
            <w:pPr>
              <w:spacing w:after="0" w:line="240" w:lineRule="auto"/>
              <w:rPr>
                <w:rFonts w:ascii="Arial" w:eastAsia="Times New Roman" w:hAnsi="Arial" w:cs="Arial"/>
                <w:color w:val="000000"/>
                <w:lang w:eastAsia="en-GB"/>
              </w:rPr>
            </w:pPr>
            <w:r w:rsidRPr="004B5CD9">
              <w:rPr>
                <w:rFonts w:ascii="Arial" w:hAnsi="Arial" w:cs="Arial"/>
                <w:color w:val="000000"/>
              </w:rPr>
              <w:t>Sexual orientation not given - patient refused</w:t>
            </w:r>
          </w:p>
        </w:tc>
        <w:tc>
          <w:tcPr>
            <w:tcW w:w="3543" w:type="dxa"/>
            <w:tcBorders>
              <w:top w:val="nil"/>
              <w:left w:val="nil"/>
              <w:bottom w:val="single" w:sz="4" w:space="0" w:color="auto"/>
              <w:right w:val="single" w:sz="4" w:space="0" w:color="auto"/>
            </w:tcBorders>
            <w:shd w:val="clear" w:color="auto" w:fill="auto"/>
            <w:noWrap/>
            <w:vAlign w:val="bottom"/>
            <w:hideMark/>
          </w:tcPr>
          <w:p w14:paraId="13262A46" w14:textId="22FDEE12" w:rsidR="00EC408D" w:rsidRPr="004B5CD9" w:rsidRDefault="00EC408D"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15</w:t>
            </w:r>
          </w:p>
        </w:tc>
      </w:tr>
      <w:tr w:rsidR="00EC408D" w:rsidRPr="004B5CD9" w14:paraId="3EA84FFA" w14:textId="77777777" w:rsidTr="009D3AC4">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E4230A2" w14:textId="4054AF4B" w:rsidR="00EC408D" w:rsidRPr="004B5CD9" w:rsidRDefault="00EC408D" w:rsidP="004B5CD9">
            <w:pPr>
              <w:spacing w:after="0" w:line="240" w:lineRule="auto"/>
              <w:rPr>
                <w:rFonts w:ascii="Arial" w:eastAsia="Times New Roman" w:hAnsi="Arial" w:cs="Arial"/>
                <w:color w:val="000000"/>
                <w:lang w:eastAsia="en-GB"/>
              </w:rPr>
            </w:pPr>
            <w:r w:rsidRPr="004B5CD9">
              <w:rPr>
                <w:rFonts w:ascii="Arial" w:hAnsi="Arial" w:cs="Arial"/>
                <w:color w:val="000000"/>
              </w:rPr>
              <w:t>Sexual orientation unknown</w:t>
            </w:r>
          </w:p>
        </w:tc>
        <w:tc>
          <w:tcPr>
            <w:tcW w:w="3543" w:type="dxa"/>
            <w:tcBorders>
              <w:top w:val="nil"/>
              <w:left w:val="nil"/>
              <w:bottom w:val="single" w:sz="4" w:space="0" w:color="auto"/>
              <w:right w:val="single" w:sz="4" w:space="0" w:color="auto"/>
            </w:tcBorders>
            <w:shd w:val="clear" w:color="auto" w:fill="auto"/>
            <w:noWrap/>
            <w:vAlign w:val="bottom"/>
            <w:hideMark/>
          </w:tcPr>
          <w:p w14:paraId="7C50B122" w14:textId="1E5B3D23" w:rsidR="00EC408D" w:rsidRPr="004B5CD9" w:rsidRDefault="00EC408D"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5</w:t>
            </w:r>
          </w:p>
        </w:tc>
      </w:tr>
      <w:tr w:rsidR="00EC408D" w:rsidRPr="004B5CD9" w14:paraId="334456DE" w14:textId="77777777" w:rsidTr="009D3AC4">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A10EF94" w14:textId="4FE61053" w:rsidR="00EC408D" w:rsidRPr="004B5CD9" w:rsidRDefault="00EC408D" w:rsidP="004B5CD9">
            <w:pPr>
              <w:spacing w:after="0" w:line="240" w:lineRule="auto"/>
              <w:rPr>
                <w:rFonts w:ascii="Arial" w:eastAsia="Times New Roman" w:hAnsi="Arial" w:cs="Arial"/>
                <w:color w:val="000000"/>
                <w:lang w:eastAsia="en-GB"/>
              </w:rPr>
            </w:pPr>
            <w:r w:rsidRPr="004B5CD9">
              <w:rPr>
                <w:rFonts w:ascii="Arial" w:hAnsi="Arial" w:cs="Arial"/>
                <w:color w:val="000000"/>
              </w:rPr>
              <w:t>Not stated (person asked but declined to provide a response about their sexual orientation)</w:t>
            </w:r>
          </w:p>
        </w:tc>
        <w:tc>
          <w:tcPr>
            <w:tcW w:w="3543" w:type="dxa"/>
            <w:tcBorders>
              <w:top w:val="nil"/>
              <w:left w:val="nil"/>
              <w:bottom w:val="single" w:sz="4" w:space="0" w:color="auto"/>
              <w:right w:val="single" w:sz="4" w:space="0" w:color="auto"/>
            </w:tcBorders>
            <w:shd w:val="clear" w:color="auto" w:fill="auto"/>
            <w:noWrap/>
            <w:vAlign w:val="bottom"/>
            <w:hideMark/>
          </w:tcPr>
          <w:p w14:paraId="56C3DEBA" w14:textId="3AEFC855" w:rsidR="00EC408D" w:rsidRPr="004B5CD9" w:rsidRDefault="00EC408D"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4</w:t>
            </w:r>
          </w:p>
        </w:tc>
      </w:tr>
      <w:tr w:rsidR="00EC408D" w:rsidRPr="004B5CD9" w14:paraId="589C6989" w14:textId="77777777" w:rsidTr="009D3AC4">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FC55F8F" w14:textId="43C69479" w:rsidR="00EC408D" w:rsidRPr="004B5CD9" w:rsidRDefault="00EC408D" w:rsidP="004B5CD9">
            <w:pPr>
              <w:spacing w:after="0" w:line="240" w:lineRule="auto"/>
              <w:rPr>
                <w:rFonts w:ascii="Arial" w:eastAsia="Times New Roman" w:hAnsi="Arial" w:cs="Arial"/>
                <w:color w:val="000000"/>
                <w:lang w:eastAsia="en-GB"/>
              </w:rPr>
            </w:pPr>
            <w:r w:rsidRPr="004B5CD9">
              <w:rPr>
                <w:rFonts w:ascii="Arial" w:hAnsi="Arial" w:cs="Arial"/>
                <w:color w:val="000000"/>
              </w:rPr>
              <w:t>Female homosexual</w:t>
            </w:r>
          </w:p>
        </w:tc>
        <w:tc>
          <w:tcPr>
            <w:tcW w:w="3543" w:type="dxa"/>
            <w:tcBorders>
              <w:top w:val="nil"/>
              <w:left w:val="nil"/>
              <w:bottom w:val="single" w:sz="4" w:space="0" w:color="auto"/>
              <w:right w:val="single" w:sz="4" w:space="0" w:color="auto"/>
            </w:tcBorders>
            <w:shd w:val="clear" w:color="auto" w:fill="auto"/>
            <w:noWrap/>
            <w:vAlign w:val="bottom"/>
            <w:hideMark/>
          </w:tcPr>
          <w:p w14:paraId="31EFD3C8" w14:textId="4E5B1595" w:rsidR="00EC408D" w:rsidRPr="004B5CD9" w:rsidRDefault="00EC408D"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EC408D" w:rsidRPr="004B5CD9" w14:paraId="295517E5" w14:textId="77777777" w:rsidTr="009D3AC4">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3898A5C" w14:textId="1CF4058E" w:rsidR="00EC408D" w:rsidRPr="004B5CD9" w:rsidRDefault="00EC408D" w:rsidP="004B5CD9">
            <w:pPr>
              <w:spacing w:after="0" w:line="240" w:lineRule="auto"/>
              <w:rPr>
                <w:rFonts w:ascii="Arial" w:eastAsia="Times New Roman" w:hAnsi="Arial" w:cs="Arial"/>
                <w:color w:val="000000"/>
                <w:lang w:eastAsia="en-GB"/>
              </w:rPr>
            </w:pPr>
            <w:r w:rsidRPr="004B5CD9">
              <w:rPr>
                <w:rFonts w:ascii="Arial" w:hAnsi="Arial" w:cs="Arial"/>
                <w:color w:val="000000"/>
              </w:rPr>
              <w:t>Unknown</w:t>
            </w:r>
          </w:p>
        </w:tc>
        <w:tc>
          <w:tcPr>
            <w:tcW w:w="3543" w:type="dxa"/>
            <w:tcBorders>
              <w:top w:val="nil"/>
              <w:left w:val="nil"/>
              <w:bottom w:val="single" w:sz="4" w:space="0" w:color="auto"/>
              <w:right w:val="single" w:sz="4" w:space="0" w:color="auto"/>
            </w:tcBorders>
            <w:shd w:val="clear" w:color="auto" w:fill="auto"/>
            <w:noWrap/>
            <w:vAlign w:val="bottom"/>
            <w:hideMark/>
          </w:tcPr>
          <w:p w14:paraId="4E8D99E0" w14:textId="2262176C" w:rsidR="00EC408D" w:rsidRPr="004B5CD9" w:rsidRDefault="00EC408D"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w:t>
            </w:r>
          </w:p>
        </w:tc>
      </w:tr>
      <w:tr w:rsidR="002675C1" w:rsidRPr="004B5CD9" w14:paraId="237CEE6D" w14:textId="77777777" w:rsidTr="009D3AC4">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AB97535" w14:textId="77777777" w:rsidR="002675C1" w:rsidRPr="004B5CD9" w:rsidRDefault="002675C1" w:rsidP="004B5CD9">
            <w:pPr>
              <w:spacing w:after="0" w:line="240" w:lineRule="auto"/>
              <w:rPr>
                <w:rFonts w:ascii="Arial" w:eastAsia="Times New Roman" w:hAnsi="Arial" w:cs="Arial"/>
                <w:b/>
                <w:color w:val="000000"/>
                <w:lang w:eastAsia="en-GB"/>
              </w:rPr>
            </w:pPr>
            <w:r w:rsidRPr="004B5CD9">
              <w:rPr>
                <w:rFonts w:ascii="Arial" w:eastAsia="Times New Roman" w:hAnsi="Arial" w:cs="Arial"/>
                <w:b/>
                <w:color w:val="000000" w:themeColor="text1"/>
                <w:lang w:eastAsia="en-GB"/>
              </w:rPr>
              <w:t>Grand Total</w:t>
            </w:r>
          </w:p>
        </w:tc>
        <w:tc>
          <w:tcPr>
            <w:tcW w:w="35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7D2225D" w14:textId="25D70889" w:rsidR="002675C1" w:rsidRPr="004B5CD9" w:rsidRDefault="00EC408D" w:rsidP="004B5CD9">
            <w:pPr>
              <w:spacing w:after="0" w:line="240" w:lineRule="auto"/>
              <w:jc w:val="center"/>
              <w:rPr>
                <w:rFonts w:ascii="Arial" w:eastAsia="Times New Roman" w:hAnsi="Arial" w:cs="Arial"/>
                <w:b/>
                <w:color w:val="000000"/>
                <w:lang w:eastAsia="en-GB"/>
              </w:rPr>
            </w:pPr>
            <w:r w:rsidRPr="004B5CD9">
              <w:rPr>
                <w:rFonts w:ascii="Arial" w:eastAsia="Times New Roman" w:hAnsi="Arial" w:cs="Arial"/>
                <w:b/>
                <w:color w:val="000000" w:themeColor="text1"/>
                <w:lang w:eastAsia="en-GB"/>
              </w:rPr>
              <w:t>582</w:t>
            </w:r>
          </w:p>
        </w:tc>
      </w:tr>
    </w:tbl>
    <w:p w14:paraId="65AACABC" w14:textId="77777777" w:rsidR="00BA50F9" w:rsidRPr="004B5CD9" w:rsidRDefault="00BA50F9" w:rsidP="004B5CD9">
      <w:pPr>
        <w:spacing w:after="0" w:line="240" w:lineRule="auto"/>
        <w:rPr>
          <w:rFonts w:ascii="Arial" w:hAnsi="Arial" w:cs="Arial"/>
          <w:bCs/>
        </w:rPr>
      </w:pPr>
    </w:p>
    <w:p w14:paraId="226A395F" w14:textId="39734959" w:rsidR="00E124E5" w:rsidRPr="004B5CD9" w:rsidRDefault="00BA50F9" w:rsidP="004B5CD9">
      <w:pPr>
        <w:spacing w:after="0" w:line="240" w:lineRule="auto"/>
        <w:rPr>
          <w:rFonts w:ascii="Arial" w:hAnsi="Arial" w:cs="Arial"/>
          <w:bCs/>
        </w:rPr>
      </w:pPr>
      <w:r w:rsidRPr="004B5CD9">
        <w:rPr>
          <w:rFonts w:ascii="Arial" w:hAnsi="Arial" w:cs="Arial"/>
          <w:b/>
        </w:rPr>
        <w:t>6.8</w:t>
      </w:r>
      <w:r w:rsidRPr="004B5CD9">
        <w:rPr>
          <w:rFonts w:ascii="Arial" w:hAnsi="Arial" w:cs="Arial"/>
          <w:bCs/>
        </w:rPr>
        <w:t xml:space="preserve"> </w:t>
      </w:r>
      <w:r w:rsidR="001D55AF" w:rsidRPr="004B5CD9">
        <w:rPr>
          <w:rFonts w:ascii="Arial" w:hAnsi="Arial" w:cs="Arial"/>
          <w:b/>
        </w:rPr>
        <w:t xml:space="preserve">Analysis </w:t>
      </w:r>
      <w:r w:rsidR="005E149E" w:rsidRPr="004B5CD9">
        <w:rPr>
          <w:rFonts w:ascii="Arial" w:hAnsi="Arial" w:cs="Arial"/>
          <w:b/>
        </w:rPr>
        <w:t xml:space="preserve">by </w:t>
      </w:r>
      <w:r w:rsidR="00E124E5" w:rsidRPr="004B5CD9">
        <w:rPr>
          <w:rFonts w:ascii="Arial" w:hAnsi="Arial" w:cs="Arial"/>
          <w:b/>
        </w:rPr>
        <w:t>D</w:t>
      </w:r>
      <w:r w:rsidR="005E149E" w:rsidRPr="004B5CD9">
        <w:rPr>
          <w:rFonts w:ascii="Arial" w:hAnsi="Arial" w:cs="Arial"/>
          <w:b/>
        </w:rPr>
        <w:t>isability</w:t>
      </w:r>
    </w:p>
    <w:p w14:paraId="30C2B0BA" w14:textId="77777777" w:rsidR="009D3AC4" w:rsidRDefault="009D3AC4" w:rsidP="004B5CD9">
      <w:pPr>
        <w:spacing w:after="0" w:line="240" w:lineRule="auto"/>
        <w:rPr>
          <w:rFonts w:ascii="Arial" w:hAnsi="Arial" w:cs="Arial"/>
        </w:rPr>
      </w:pPr>
    </w:p>
    <w:p w14:paraId="2370E9D5" w14:textId="08689FAF" w:rsidR="005E149E" w:rsidRPr="004B5CD9" w:rsidRDefault="005E149E" w:rsidP="004B5CD9">
      <w:pPr>
        <w:spacing w:after="0" w:line="240" w:lineRule="auto"/>
        <w:rPr>
          <w:rFonts w:ascii="Arial" w:hAnsi="Arial" w:cs="Arial"/>
        </w:rPr>
      </w:pPr>
      <w:r w:rsidRPr="004B5CD9">
        <w:rPr>
          <w:rFonts w:ascii="Arial" w:hAnsi="Arial" w:cs="Arial"/>
        </w:rPr>
        <w:t xml:space="preserve">The table below details the top </w:t>
      </w:r>
      <w:r w:rsidR="00B11C51" w:rsidRPr="004B5CD9">
        <w:rPr>
          <w:rFonts w:ascii="Arial" w:hAnsi="Arial" w:cs="Arial"/>
        </w:rPr>
        <w:t>eight</w:t>
      </w:r>
      <w:r w:rsidRPr="004B5CD9">
        <w:rPr>
          <w:rFonts w:ascii="Arial" w:hAnsi="Arial" w:cs="Arial"/>
        </w:rPr>
        <w:t xml:space="preserve"> categories by disability. </w:t>
      </w:r>
      <w:r w:rsidR="00B11C51" w:rsidRPr="004B5CD9">
        <w:rPr>
          <w:rFonts w:ascii="Arial" w:hAnsi="Arial" w:cs="Arial"/>
        </w:rPr>
        <w:t xml:space="preserve"> </w:t>
      </w:r>
      <w:r w:rsidR="009254D6" w:rsidRPr="004B5CD9">
        <w:rPr>
          <w:rFonts w:ascii="Arial" w:hAnsi="Arial" w:cs="Arial"/>
        </w:rPr>
        <w:t>Gross motor disability</w:t>
      </w:r>
      <w:r w:rsidRPr="004B5CD9">
        <w:rPr>
          <w:rFonts w:ascii="Arial" w:hAnsi="Arial" w:cs="Arial"/>
        </w:rPr>
        <w:t xml:space="preserve"> w</w:t>
      </w:r>
      <w:r w:rsidR="009254D6" w:rsidRPr="004B5CD9">
        <w:rPr>
          <w:rFonts w:ascii="Arial" w:hAnsi="Arial" w:cs="Arial"/>
        </w:rPr>
        <w:t>as</w:t>
      </w:r>
      <w:r w:rsidRPr="004B5CD9">
        <w:rPr>
          <w:rFonts w:ascii="Arial" w:hAnsi="Arial" w:cs="Arial"/>
        </w:rPr>
        <w:t xml:space="preserve"> the highest recorded disability group with </w:t>
      </w:r>
      <w:r w:rsidR="0062601A" w:rsidRPr="004B5CD9">
        <w:rPr>
          <w:rFonts w:ascii="Arial" w:hAnsi="Arial" w:cs="Arial"/>
        </w:rPr>
        <w:t xml:space="preserve">117 </w:t>
      </w:r>
      <w:r w:rsidRPr="004B5CD9">
        <w:rPr>
          <w:rFonts w:ascii="Arial" w:hAnsi="Arial" w:cs="Arial"/>
        </w:rPr>
        <w:t>recorded deaths</w:t>
      </w:r>
      <w:r w:rsidR="009D3AC4">
        <w:rPr>
          <w:rFonts w:ascii="Arial" w:hAnsi="Arial" w:cs="Arial"/>
        </w:rPr>
        <w:t>:</w:t>
      </w:r>
    </w:p>
    <w:p w14:paraId="5B2CDEFE" w14:textId="77777777" w:rsidR="009254D6" w:rsidRPr="00217A3D" w:rsidRDefault="009254D6" w:rsidP="004B5CD9">
      <w:pPr>
        <w:spacing w:after="0" w:line="240" w:lineRule="auto"/>
        <w:jc w:val="both"/>
        <w:rPr>
          <w:rFonts w:ascii="Arial" w:hAnsi="Arial" w:cs="Arial"/>
          <w:sz w:val="8"/>
          <w:szCs w:val="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430"/>
      </w:tblGrid>
      <w:tr w:rsidR="00382421" w:rsidRPr="004B5CD9" w14:paraId="0351B227" w14:textId="77777777" w:rsidTr="006F7DBE">
        <w:trPr>
          <w:trHeight w:val="288"/>
          <w:jc w:val="center"/>
        </w:trPr>
        <w:tc>
          <w:tcPr>
            <w:tcW w:w="7650" w:type="dxa"/>
            <w:shd w:val="clear" w:color="D9E1F2" w:fill="D9E1F2"/>
            <w:noWrap/>
            <w:vAlign w:val="bottom"/>
            <w:hideMark/>
          </w:tcPr>
          <w:p w14:paraId="203AAFF4" w14:textId="77777777" w:rsidR="00382421" w:rsidRPr="004B5CD9" w:rsidRDefault="00382421" w:rsidP="004B5CD9">
            <w:pPr>
              <w:spacing w:after="0" w:line="240" w:lineRule="auto"/>
              <w:rPr>
                <w:rFonts w:ascii="Arial" w:eastAsia="Times New Roman" w:hAnsi="Arial" w:cs="Arial"/>
                <w:b/>
                <w:bCs/>
                <w:color w:val="000000"/>
                <w:lang w:eastAsia="en-GB"/>
              </w:rPr>
            </w:pPr>
            <w:r w:rsidRPr="004B5CD9">
              <w:rPr>
                <w:rFonts w:ascii="Arial" w:eastAsia="Times New Roman" w:hAnsi="Arial" w:cs="Arial"/>
                <w:b/>
                <w:bCs/>
                <w:color w:val="000000"/>
                <w:lang w:eastAsia="en-GB"/>
              </w:rPr>
              <w:t>Disability</w:t>
            </w:r>
          </w:p>
        </w:tc>
        <w:tc>
          <w:tcPr>
            <w:tcW w:w="2430" w:type="dxa"/>
            <w:shd w:val="clear" w:color="D9E1F2" w:fill="D9E1F2"/>
            <w:noWrap/>
            <w:vAlign w:val="bottom"/>
            <w:hideMark/>
          </w:tcPr>
          <w:p w14:paraId="067CF863" w14:textId="77777777" w:rsidR="00382421" w:rsidRPr="004B5CD9" w:rsidRDefault="00382421" w:rsidP="004B5CD9">
            <w:pPr>
              <w:spacing w:after="0" w:line="240" w:lineRule="auto"/>
              <w:jc w:val="center"/>
              <w:rPr>
                <w:rFonts w:ascii="Arial" w:eastAsia="Times New Roman" w:hAnsi="Arial" w:cs="Arial"/>
                <w:b/>
                <w:bCs/>
                <w:color w:val="000000"/>
                <w:lang w:eastAsia="en-GB"/>
              </w:rPr>
            </w:pPr>
            <w:r w:rsidRPr="004B5CD9">
              <w:rPr>
                <w:rFonts w:ascii="Arial" w:eastAsia="Times New Roman" w:hAnsi="Arial" w:cs="Arial"/>
                <w:b/>
                <w:bCs/>
                <w:color w:val="000000"/>
                <w:lang w:eastAsia="en-GB"/>
              </w:rPr>
              <w:t>Number of Deaths</w:t>
            </w:r>
          </w:p>
        </w:tc>
      </w:tr>
      <w:tr w:rsidR="006F7DBE" w:rsidRPr="004B5CD9" w14:paraId="1C0DF500"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16BC6" w14:textId="23D8D143"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Gross motor disability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0843C" w14:textId="7B47AB9A"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117</w:t>
            </w:r>
          </w:p>
        </w:tc>
      </w:tr>
      <w:tr w:rsidR="006F7DBE" w:rsidRPr="004B5CD9" w14:paraId="2FB5E79A"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CB692" w14:textId="1831D297"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Disability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4FA5E" w14:textId="2DB0F078"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41</w:t>
            </w:r>
          </w:p>
        </w:tc>
      </w:tr>
      <w:tr w:rsidR="006F7DBE" w:rsidRPr="004B5CD9" w14:paraId="770B21A9"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801B7" w14:textId="1A2523D6"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Intellectual functioning disability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687F8" w14:textId="2EB8C077"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39</w:t>
            </w:r>
          </w:p>
        </w:tc>
      </w:tr>
      <w:tr w:rsidR="006F7DBE" w:rsidRPr="004B5CD9" w14:paraId="76DBDAB8"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7583E" w14:textId="56432B20"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Emotional behaviour disability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10222" w14:textId="788F4330"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25</w:t>
            </w:r>
          </w:p>
        </w:tc>
      </w:tr>
      <w:tr w:rsidR="006F7DBE" w:rsidRPr="004B5CD9" w14:paraId="55DE0195"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2C0B3" w14:textId="582D0A7F"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Hearing disability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7769B" w14:textId="25EB5CF7"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14</w:t>
            </w:r>
          </w:p>
        </w:tc>
      </w:tr>
      <w:tr w:rsidR="006F7DBE" w:rsidRPr="004B5CD9" w14:paraId="6D6B301C"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F92D6" w14:textId="0BC8C5A0"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Disability Questionnaire - Behavioural and Emotional</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0F030" w14:textId="5EED8378"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6</w:t>
            </w:r>
          </w:p>
        </w:tc>
      </w:tr>
      <w:tr w:rsidR="006F7DBE" w:rsidRPr="004B5CD9" w14:paraId="62620375"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27B1" w14:textId="29668162"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Disability Questionnaire - Progressive Conditions and Physical Health</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C8332" w14:textId="774F78AD"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6</w:t>
            </w:r>
          </w:p>
        </w:tc>
      </w:tr>
      <w:tr w:rsidR="006F7DBE" w:rsidRPr="004B5CD9" w14:paraId="530435F9" w14:textId="77777777" w:rsidTr="006F7DBE">
        <w:trPr>
          <w:trHeight w:val="288"/>
          <w:jc w:val="center"/>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87BA" w14:textId="21DC6432" w:rsidR="006F7DBE" w:rsidRPr="004B5CD9" w:rsidRDefault="006F7DBE" w:rsidP="004B5CD9">
            <w:pPr>
              <w:spacing w:after="0" w:line="240" w:lineRule="auto"/>
              <w:rPr>
                <w:rFonts w:ascii="Arial" w:eastAsia="Times New Roman" w:hAnsi="Arial" w:cs="Arial"/>
                <w:color w:val="000000"/>
                <w:lang w:eastAsia="en-GB"/>
              </w:rPr>
            </w:pPr>
            <w:r w:rsidRPr="004B5CD9">
              <w:rPr>
                <w:rFonts w:ascii="Arial" w:hAnsi="Arial" w:cs="Arial"/>
                <w:color w:val="000000"/>
              </w:rPr>
              <w:t>Disability Questionnaire - Mobility and Gross Motor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2DDCF" w14:textId="5CA7A7D2" w:rsidR="006F7DBE" w:rsidRPr="004B5CD9" w:rsidRDefault="006F7DBE" w:rsidP="004B5CD9">
            <w:pPr>
              <w:spacing w:after="0" w:line="240" w:lineRule="auto"/>
              <w:jc w:val="center"/>
              <w:rPr>
                <w:rFonts w:ascii="Arial" w:eastAsia="Times New Roman" w:hAnsi="Arial" w:cs="Arial"/>
                <w:color w:val="000000"/>
                <w:lang w:eastAsia="en-GB"/>
              </w:rPr>
            </w:pPr>
            <w:r w:rsidRPr="004B5CD9">
              <w:rPr>
                <w:rFonts w:ascii="Arial" w:hAnsi="Arial" w:cs="Arial"/>
                <w:color w:val="000000"/>
              </w:rPr>
              <w:t>4</w:t>
            </w:r>
          </w:p>
        </w:tc>
      </w:tr>
    </w:tbl>
    <w:p w14:paraId="43F53F43" w14:textId="77777777" w:rsidR="006A4603" w:rsidRPr="004B5CD9" w:rsidRDefault="006A4603" w:rsidP="004B5CD9">
      <w:pPr>
        <w:spacing w:after="0" w:line="240" w:lineRule="auto"/>
        <w:jc w:val="both"/>
        <w:rPr>
          <w:rFonts w:ascii="Arial" w:hAnsi="Arial" w:cs="Arial"/>
        </w:rPr>
      </w:pPr>
    </w:p>
    <w:p w14:paraId="44B502BD" w14:textId="2924467F" w:rsidR="0089388E" w:rsidRDefault="005E149E" w:rsidP="004B5CD9">
      <w:pPr>
        <w:spacing w:after="0" w:line="240" w:lineRule="auto"/>
        <w:jc w:val="both"/>
        <w:rPr>
          <w:rFonts w:ascii="Arial" w:hAnsi="Arial" w:cs="Arial"/>
        </w:rPr>
      </w:pPr>
      <w:r w:rsidRPr="004B5CD9">
        <w:rPr>
          <w:rFonts w:ascii="Arial" w:hAnsi="Arial" w:cs="Arial"/>
        </w:rPr>
        <w:t xml:space="preserve">There were a total of </w:t>
      </w:r>
      <w:r w:rsidR="006F7DBE" w:rsidRPr="004B5CD9">
        <w:rPr>
          <w:rFonts w:ascii="Arial" w:hAnsi="Arial" w:cs="Arial"/>
        </w:rPr>
        <w:t>268</w:t>
      </w:r>
      <w:r w:rsidR="00F160B5" w:rsidRPr="004B5CD9">
        <w:rPr>
          <w:rFonts w:ascii="Arial" w:hAnsi="Arial" w:cs="Arial"/>
        </w:rPr>
        <w:t xml:space="preserve"> </w:t>
      </w:r>
      <w:r w:rsidRPr="004B5CD9">
        <w:rPr>
          <w:rFonts w:ascii="Arial" w:hAnsi="Arial" w:cs="Arial"/>
        </w:rPr>
        <w:t>deaths with a disability assigned and the remainder</w:t>
      </w:r>
      <w:r w:rsidR="00CC3ACB" w:rsidRPr="004B5CD9">
        <w:rPr>
          <w:rFonts w:ascii="Arial" w:hAnsi="Arial" w:cs="Arial"/>
        </w:rPr>
        <w:t xml:space="preserve"> </w:t>
      </w:r>
      <w:r w:rsidRPr="004B5CD9">
        <w:rPr>
          <w:rFonts w:ascii="Arial" w:hAnsi="Arial" w:cs="Arial"/>
        </w:rPr>
        <w:t>were blank</w:t>
      </w:r>
      <w:r w:rsidR="00777359" w:rsidRPr="004B5CD9">
        <w:rPr>
          <w:rFonts w:ascii="Arial" w:hAnsi="Arial" w:cs="Arial"/>
        </w:rPr>
        <w:t xml:space="preserve"> or had </w:t>
      </w:r>
      <w:r w:rsidRPr="004B5CD9">
        <w:rPr>
          <w:rFonts w:ascii="Arial" w:hAnsi="Arial" w:cs="Arial"/>
        </w:rPr>
        <w:t>no assigned disability.</w:t>
      </w:r>
    </w:p>
    <w:p w14:paraId="63B898B4" w14:textId="77777777" w:rsidR="009D3AC4" w:rsidRPr="004B5CD9" w:rsidRDefault="009D3AC4" w:rsidP="004B5CD9">
      <w:pPr>
        <w:spacing w:after="0" w:line="240" w:lineRule="auto"/>
        <w:jc w:val="both"/>
        <w:rPr>
          <w:rFonts w:ascii="Arial" w:hAnsi="Arial" w:cs="Arial"/>
          <w:highlight w:val="yellow"/>
        </w:rPr>
      </w:pPr>
    </w:p>
    <w:p w14:paraId="65763BB0" w14:textId="77777777" w:rsidR="00DC6344" w:rsidRPr="004B5CD9" w:rsidRDefault="00DC6344" w:rsidP="004B5CD9">
      <w:pPr>
        <w:spacing w:after="0" w:line="240" w:lineRule="auto"/>
        <w:rPr>
          <w:rFonts w:ascii="Arial" w:hAnsi="Arial" w:cs="Arial"/>
          <w:bCs/>
          <w:highlight w:val="yellow"/>
        </w:rPr>
        <w:sectPr w:rsidR="00DC6344" w:rsidRPr="004B5CD9" w:rsidSect="00675D99">
          <w:pgSz w:w="11906" w:h="16838"/>
          <w:pgMar w:top="567" w:right="680" w:bottom="284" w:left="794" w:header="284" w:footer="284" w:gutter="0"/>
          <w:cols w:space="708"/>
          <w:docGrid w:linePitch="360"/>
        </w:sectPr>
      </w:pPr>
    </w:p>
    <w:p w14:paraId="14149B7A" w14:textId="0902B713" w:rsidR="001E5FFD" w:rsidRPr="001E27B1" w:rsidRDefault="001E5FFD" w:rsidP="004B5CD9">
      <w:pPr>
        <w:spacing w:after="0" w:line="240" w:lineRule="auto"/>
        <w:ind w:left="454" w:hanging="454"/>
        <w:rPr>
          <w:rFonts w:ascii="Arial Bold" w:hAnsi="Arial Bold" w:cs="Arial"/>
          <w:b/>
        </w:rPr>
      </w:pPr>
      <w:r w:rsidRPr="004B5CD9">
        <w:rPr>
          <w:rFonts w:ascii="Arial" w:hAnsi="Arial" w:cs="Arial"/>
          <w:b/>
        </w:rPr>
        <w:lastRenderedPageBreak/>
        <w:t>7.</w:t>
      </w:r>
      <w:r w:rsidRPr="004B5CD9">
        <w:rPr>
          <w:rFonts w:ascii="Arial" w:hAnsi="Arial" w:cs="Arial"/>
          <w:b/>
        </w:rPr>
        <w:tab/>
        <w:t>Recommendations and Learning</w:t>
      </w:r>
    </w:p>
    <w:p w14:paraId="7B04E115" w14:textId="77777777" w:rsidR="00DB43A2" w:rsidRPr="00111AE2" w:rsidRDefault="00DB43A2" w:rsidP="004B5CD9">
      <w:pPr>
        <w:spacing w:after="0" w:line="240" w:lineRule="auto"/>
        <w:rPr>
          <w:rFonts w:ascii="Arial" w:hAnsi="Arial" w:cs="Arial"/>
          <w:sz w:val="8"/>
          <w:szCs w:val="16"/>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332"/>
      </w:tblGrid>
      <w:tr w:rsidR="00C709CF" w:rsidRPr="004B5CD9" w14:paraId="1DF123F0" w14:textId="77777777" w:rsidTr="00111AE2">
        <w:trPr>
          <w:tblHeader/>
          <w:jc w:val="center"/>
        </w:trPr>
        <w:tc>
          <w:tcPr>
            <w:tcW w:w="3256" w:type="dxa"/>
            <w:shd w:val="clear" w:color="auto" w:fill="17365D" w:themeFill="text2" w:themeFillShade="BF"/>
          </w:tcPr>
          <w:p w14:paraId="7FCAB15E" w14:textId="77777777" w:rsidR="00C709CF" w:rsidRPr="004B5CD9" w:rsidRDefault="00C709CF" w:rsidP="005926A1">
            <w:pPr>
              <w:spacing w:before="40" w:after="40" w:line="240" w:lineRule="auto"/>
              <w:ind w:left="-57" w:right="-57"/>
              <w:rPr>
                <w:rFonts w:ascii="Arial" w:hAnsi="Arial" w:cs="Arial"/>
                <w:b/>
                <w:bCs/>
                <w:color w:val="FFFFFF"/>
              </w:rPr>
            </w:pPr>
            <w:r w:rsidRPr="004B5CD9">
              <w:rPr>
                <w:rFonts w:ascii="Arial" w:hAnsi="Arial" w:cs="Arial"/>
                <w:b/>
                <w:bCs/>
                <w:color w:val="FFFFFF"/>
              </w:rPr>
              <w:t>Improvement issue</w:t>
            </w:r>
          </w:p>
        </w:tc>
        <w:tc>
          <w:tcPr>
            <w:tcW w:w="12332" w:type="dxa"/>
            <w:shd w:val="clear" w:color="auto" w:fill="17365D" w:themeFill="text2" w:themeFillShade="BF"/>
          </w:tcPr>
          <w:p w14:paraId="016F17CF" w14:textId="66EAF1C4" w:rsidR="00C709CF" w:rsidRPr="004B5CD9" w:rsidRDefault="00C709CF" w:rsidP="005926A1">
            <w:pPr>
              <w:spacing w:before="40" w:after="40" w:line="240" w:lineRule="auto"/>
              <w:ind w:left="-57" w:right="-57"/>
              <w:rPr>
                <w:rFonts w:ascii="Arial" w:hAnsi="Arial" w:cs="Arial"/>
                <w:b/>
                <w:bCs/>
                <w:color w:val="FFFFFF"/>
              </w:rPr>
            </w:pPr>
            <w:r w:rsidRPr="004B5CD9">
              <w:rPr>
                <w:rFonts w:ascii="Arial" w:hAnsi="Arial" w:cs="Arial"/>
                <w:b/>
                <w:bCs/>
                <w:color w:val="FFFFFF"/>
              </w:rPr>
              <w:t>Improvement plan</w:t>
            </w:r>
          </w:p>
        </w:tc>
      </w:tr>
      <w:tr w:rsidR="00C709CF" w:rsidRPr="004B5CD9" w14:paraId="795ECAEE" w14:textId="77777777" w:rsidTr="00111AE2">
        <w:trPr>
          <w:trHeight w:val="386"/>
          <w:jc w:val="center"/>
        </w:trPr>
        <w:tc>
          <w:tcPr>
            <w:tcW w:w="3256" w:type="dxa"/>
            <w:shd w:val="clear" w:color="auto" w:fill="auto"/>
          </w:tcPr>
          <w:p w14:paraId="6441FE17" w14:textId="337A4F1F" w:rsidR="00C709CF" w:rsidRPr="004B5CD9" w:rsidRDefault="00C709CF" w:rsidP="005926A1">
            <w:pPr>
              <w:spacing w:before="40" w:after="0" w:line="240" w:lineRule="auto"/>
              <w:ind w:left="-57" w:right="-57"/>
              <w:rPr>
                <w:rFonts w:ascii="Arial" w:hAnsi="Arial" w:cs="Arial"/>
              </w:rPr>
            </w:pPr>
            <w:r w:rsidRPr="004B5CD9">
              <w:rPr>
                <w:rFonts w:ascii="Arial" w:hAnsi="Arial" w:cs="Arial"/>
              </w:rPr>
              <w:t>Transfer, Leave and Discharge.</w:t>
            </w:r>
          </w:p>
        </w:tc>
        <w:tc>
          <w:tcPr>
            <w:tcW w:w="12332" w:type="dxa"/>
            <w:shd w:val="clear" w:color="auto" w:fill="auto"/>
          </w:tcPr>
          <w:p w14:paraId="52BD974A" w14:textId="12DFA183" w:rsidR="00C709CF" w:rsidRPr="004B5CD9" w:rsidRDefault="00C709CF" w:rsidP="005926A1">
            <w:pPr>
              <w:spacing w:before="40" w:after="0" w:line="240" w:lineRule="auto"/>
              <w:ind w:left="-57" w:right="-57"/>
              <w:rPr>
                <w:rFonts w:ascii="Arial" w:hAnsi="Arial" w:cs="Arial"/>
                <w:b/>
                <w:bCs/>
              </w:rPr>
            </w:pPr>
            <w:r w:rsidRPr="004B5CD9">
              <w:rPr>
                <w:rFonts w:ascii="Arial" w:hAnsi="Arial" w:cs="Arial"/>
                <w:b/>
                <w:bCs/>
              </w:rPr>
              <w:t>Transfer of the deteriorating patient</w:t>
            </w:r>
          </w:p>
          <w:p w14:paraId="4E61D10B" w14:textId="49389C85" w:rsidR="00C709CF" w:rsidRPr="004B5CD9" w:rsidRDefault="00C709CF" w:rsidP="005926A1">
            <w:pPr>
              <w:spacing w:before="40" w:after="0" w:line="240" w:lineRule="auto"/>
              <w:ind w:left="-57" w:right="-57"/>
              <w:rPr>
                <w:rFonts w:ascii="Arial" w:hAnsi="Arial" w:cs="Arial"/>
              </w:rPr>
            </w:pPr>
            <w:r w:rsidRPr="004B5CD9">
              <w:rPr>
                <w:rFonts w:ascii="Arial" w:hAnsi="Arial" w:cs="Arial"/>
              </w:rPr>
              <w:t>Internal investigations highlighted themes around the transfer and return of patients between inpatient services for the Trust and Acute providers. This includes handover of information, and the way patients are conveyed. A quality improvement project has been undertaken between Derby Hospital and D</w:t>
            </w:r>
            <w:r w:rsidR="001316A9">
              <w:rPr>
                <w:rFonts w:ascii="Arial" w:hAnsi="Arial" w:cs="Arial"/>
              </w:rPr>
              <w:t>Hc</w:t>
            </w:r>
            <w:r w:rsidRPr="004B5CD9">
              <w:rPr>
                <w:rFonts w:ascii="Arial" w:hAnsi="Arial" w:cs="Arial"/>
              </w:rPr>
              <w:t>FT to develop a transfer and handover proforma which is now in place.</w:t>
            </w:r>
          </w:p>
          <w:p w14:paraId="4593745D" w14:textId="1D7C19A7" w:rsidR="00C709CF" w:rsidRPr="004B5CD9" w:rsidRDefault="00C709CF" w:rsidP="005926A1">
            <w:pPr>
              <w:spacing w:before="40" w:after="0" w:line="240" w:lineRule="auto"/>
              <w:ind w:left="-57" w:right="-57"/>
              <w:rPr>
                <w:rFonts w:ascii="Arial" w:hAnsi="Arial" w:cs="Arial"/>
                <w:b/>
                <w:bCs/>
              </w:rPr>
            </w:pPr>
            <w:r w:rsidRPr="004B5CD9">
              <w:rPr>
                <w:rFonts w:ascii="Arial" w:hAnsi="Arial" w:cs="Arial"/>
                <w:b/>
                <w:bCs/>
              </w:rPr>
              <w:t>Self-harm of patients whilst on leave from inpatient services and Section 17 leave arrangements</w:t>
            </w:r>
          </w:p>
          <w:p w14:paraId="44E3FC9C" w14:textId="1BD96C37" w:rsidR="00C709CF" w:rsidRPr="004B5CD9" w:rsidRDefault="00C709CF" w:rsidP="005926A1">
            <w:pPr>
              <w:spacing w:before="40" w:after="0" w:line="240" w:lineRule="auto"/>
              <w:ind w:left="-57" w:right="-57"/>
              <w:rPr>
                <w:rFonts w:ascii="Arial" w:hAnsi="Arial" w:cs="Arial"/>
              </w:rPr>
            </w:pPr>
            <w:r w:rsidRPr="004B5CD9">
              <w:rPr>
                <w:rFonts w:ascii="Arial" w:hAnsi="Arial" w:cs="Arial"/>
              </w:rPr>
              <w:t xml:space="preserve">Several investigations have highlighted issues in relation to leave arrangements for inpatient services including follow up. A further thematic review was completed on conclusion of a cluster of inpatient suspected suicide incidents. An action plan was developed. </w:t>
            </w:r>
            <w:r w:rsidRPr="004B5CD9">
              <w:rPr>
                <w:rFonts w:ascii="Arial" w:hAnsi="Arial" w:cs="Arial"/>
                <w:shd w:val="clear" w:color="auto" w:fill="FFFFFF"/>
              </w:rPr>
              <w:t>The works will include r</w:t>
            </w:r>
            <w:r w:rsidRPr="004B5CD9">
              <w:rPr>
                <w:rFonts w:ascii="Arial" w:hAnsi="Arial" w:cs="Arial"/>
              </w:rPr>
              <w:t>eview of the pathway of communication and documentation (including risk assessments and care plan) between Crisis Resolution and Home Treatment/ Community teams and Inpatient Services when a patient is due to be on s17 leave/ discharged. This will be reviewed within the Adult Acute Learning the Lessons Subgroup.</w:t>
            </w:r>
          </w:p>
        </w:tc>
      </w:tr>
      <w:tr w:rsidR="00C709CF" w:rsidRPr="004B5CD9" w14:paraId="36C9ABF7" w14:textId="77777777" w:rsidTr="00111AE2">
        <w:trPr>
          <w:trHeight w:val="647"/>
          <w:jc w:val="center"/>
        </w:trPr>
        <w:tc>
          <w:tcPr>
            <w:tcW w:w="3256" w:type="dxa"/>
            <w:shd w:val="clear" w:color="auto" w:fill="FFFFFF" w:themeFill="background1"/>
          </w:tcPr>
          <w:p w14:paraId="449BF9A2" w14:textId="763A28CF" w:rsidR="00C709CF" w:rsidRPr="004B5CD9" w:rsidRDefault="00C709CF" w:rsidP="005926A1">
            <w:pPr>
              <w:spacing w:before="40" w:after="0" w:line="240" w:lineRule="auto"/>
              <w:ind w:left="-57" w:right="-57"/>
              <w:rPr>
                <w:rFonts w:ascii="Arial" w:hAnsi="Arial" w:cs="Arial"/>
              </w:rPr>
            </w:pPr>
            <w:r w:rsidRPr="004B5CD9">
              <w:rPr>
                <w:rFonts w:ascii="Arial" w:hAnsi="Arial" w:cs="Arial"/>
              </w:rPr>
              <w:t>Suicide Prevention.</w:t>
            </w:r>
          </w:p>
        </w:tc>
        <w:tc>
          <w:tcPr>
            <w:tcW w:w="12332" w:type="dxa"/>
            <w:shd w:val="clear" w:color="auto" w:fill="FFFFFF" w:themeFill="background1"/>
          </w:tcPr>
          <w:p w14:paraId="2EC4885B" w14:textId="07026FE0" w:rsidR="00C709CF" w:rsidRPr="004B5CD9" w:rsidRDefault="00C709CF" w:rsidP="005926A1">
            <w:pPr>
              <w:spacing w:before="40" w:after="0" w:line="240" w:lineRule="auto"/>
              <w:ind w:left="-57" w:right="-57"/>
              <w:rPr>
                <w:rFonts w:ascii="Arial" w:hAnsi="Arial" w:cs="Arial"/>
                <w:b/>
                <w:bCs/>
              </w:rPr>
            </w:pPr>
            <w:r w:rsidRPr="004B5CD9">
              <w:rPr>
                <w:rFonts w:ascii="Arial" w:hAnsi="Arial" w:cs="Arial"/>
                <w:b/>
                <w:bCs/>
              </w:rPr>
              <w:t>Suicide Prevention training</w:t>
            </w:r>
            <w:r w:rsidR="001316A9">
              <w:rPr>
                <w:rFonts w:ascii="Arial" w:hAnsi="Arial" w:cs="Arial"/>
                <w:sz w:val="2"/>
              </w:rPr>
              <w:t>.</w:t>
            </w:r>
          </w:p>
          <w:p w14:paraId="44AFCFFE" w14:textId="661893D8" w:rsidR="00C709CF" w:rsidRPr="004B5CD9" w:rsidRDefault="00C709CF" w:rsidP="005926A1">
            <w:pPr>
              <w:spacing w:before="40" w:after="0" w:line="240" w:lineRule="auto"/>
              <w:ind w:left="-57" w:right="-57"/>
              <w:rPr>
                <w:rFonts w:ascii="Arial" w:hAnsi="Arial" w:cs="Arial"/>
              </w:rPr>
            </w:pPr>
            <w:r w:rsidRPr="004B5CD9">
              <w:rPr>
                <w:rFonts w:ascii="Arial" w:hAnsi="Arial" w:cs="Arial"/>
              </w:rPr>
              <w:t xml:space="preserve">The </w:t>
            </w:r>
            <w:r w:rsidR="001316A9">
              <w:rPr>
                <w:rFonts w:ascii="Arial" w:hAnsi="Arial" w:cs="Arial"/>
              </w:rPr>
              <w:t>T</w:t>
            </w:r>
            <w:r w:rsidRPr="004B5CD9">
              <w:rPr>
                <w:rFonts w:ascii="Arial" w:hAnsi="Arial" w:cs="Arial"/>
              </w:rPr>
              <w:t>rust has identified the need to re-establish Suicide Prevention training across services, this is being led by the Trust Medical Director.</w:t>
            </w:r>
          </w:p>
          <w:p w14:paraId="27CB214F" w14:textId="2BC52A14" w:rsidR="00C709CF" w:rsidRPr="004B5CD9" w:rsidRDefault="00C709CF" w:rsidP="005926A1">
            <w:pPr>
              <w:spacing w:before="40" w:after="0" w:line="240" w:lineRule="auto"/>
              <w:ind w:left="-57" w:right="-57"/>
              <w:rPr>
                <w:rFonts w:ascii="Arial" w:hAnsi="Arial" w:cs="Arial"/>
              </w:rPr>
            </w:pPr>
            <w:r w:rsidRPr="004B5CD9">
              <w:rPr>
                <w:rFonts w:ascii="Arial" w:hAnsi="Arial" w:cs="Arial"/>
              </w:rPr>
              <w:t xml:space="preserve">A </w:t>
            </w:r>
            <w:r w:rsidR="001316A9">
              <w:rPr>
                <w:rFonts w:ascii="Arial" w:hAnsi="Arial" w:cs="Arial"/>
              </w:rPr>
              <w:t>T</w:t>
            </w:r>
            <w:r w:rsidRPr="004B5CD9">
              <w:rPr>
                <w:rFonts w:ascii="Arial" w:hAnsi="Arial" w:cs="Arial"/>
              </w:rPr>
              <w:t xml:space="preserve">rust Suicide Prevention Lead has now been appointed and this links into current training development in relation to Safety Planning, Risk Assessment and Suicide Prevention expected for March </w:t>
            </w:r>
            <w:r w:rsidR="005C6D3A" w:rsidRPr="004B5CD9">
              <w:rPr>
                <w:rFonts w:ascii="Arial" w:hAnsi="Arial" w:cs="Arial"/>
              </w:rPr>
              <w:t>20</w:t>
            </w:r>
            <w:r w:rsidRPr="004B5CD9">
              <w:rPr>
                <w:rFonts w:ascii="Arial" w:hAnsi="Arial" w:cs="Arial"/>
              </w:rPr>
              <w:t>25</w:t>
            </w:r>
            <w:r w:rsidR="005C6D3A" w:rsidRPr="004B5CD9">
              <w:rPr>
                <w:rFonts w:ascii="Arial" w:hAnsi="Arial" w:cs="Arial"/>
              </w:rPr>
              <w:t>.</w:t>
            </w:r>
            <w:r w:rsidRPr="004B5CD9">
              <w:rPr>
                <w:rFonts w:ascii="Arial" w:hAnsi="Arial" w:cs="Arial"/>
              </w:rPr>
              <w:t xml:space="preserve"> </w:t>
            </w:r>
          </w:p>
        </w:tc>
      </w:tr>
      <w:tr w:rsidR="00C709CF" w:rsidRPr="004B5CD9" w14:paraId="332CDB0A" w14:textId="77777777" w:rsidTr="00111AE2">
        <w:trPr>
          <w:trHeight w:val="544"/>
          <w:jc w:val="center"/>
        </w:trPr>
        <w:tc>
          <w:tcPr>
            <w:tcW w:w="3256" w:type="dxa"/>
            <w:shd w:val="clear" w:color="auto" w:fill="auto"/>
          </w:tcPr>
          <w:p w14:paraId="71D6FB85" w14:textId="3945DF95" w:rsidR="00C709CF" w:rsidRPr="004B5CD9" w:rsidRDefault="00C709CF" w:rsidP="005926A1">
            <w:pPr>
              <w:spacing w:before="40" w:after="0" w:line="240" w:lineRule="auto"/>
              <w:ind w:left="-57" w:right="-57"/>
              <w:rPr>
                <w:rFonts w:ascii="Arial" w:hAnsi="Arial" w:cs="Arial"/>
              </w:rPr>
            </w:pPr>
            <w:r w:rsidRPr="004B5CD9">
              <w:rPr>
                <w:rFonts w:ascii="Arial" w:hAnsi="Arial" w:cs="Arial"/>
              </w:rPr>
              <w:t>Training and awareness of Emotionally Unstable Personality Disorder</w:t>
            </w:r>
            <w:r w:rsidR="00FB4C39">
              <w:rPr>
                <w:rFonts w:ascii="Arial" w:hAnsi="Arial" w:cs="Arial"/>
              </w:rPr>
              <w:t xml:space="preserve"> (EUPD)</w:t>
            </w:r>
            <w:r w:rsidRPr="004B5CD9">
              <w:rPr>
                <w:rFonts w:ascii="Arial" w:hAnsi="Arial" w:cs="Arial"/>
              </w:rPr>
              <w:t>.</w:t>
            </w:r>
          </w:p>
        </w:tc>
        <w:tc>
          <w:tcPr>
            <w:tcW w:w="12332" w:type="dxa"/>
            <w:shd w:val="clear" w:color="auto" w:fill="auto"/>
          </w:tcPr>
          <w:p w14:paraId="5F7C0085" w14:textId="64B9D02A" w:rsidR="00C709CF" w:rsidRPr="004B5CD9" w:rsidRDefault="00C709CF" w:rsidP="005926A1">
            <w:pPr>
              <w:spacing w:before="40" w:after="0" w:line="240" w:lineRule="auto"/>
              <w:ind w:left="-57" w:right="-57"/>
              <w:rPr>
                <w:rFonts w:ascii="Arial" w:hAnsi="Arial" w:cs="Arial"/>
              </w:rPr>
            </w:pPr>
            <w:r w:rsidRPr="004B5CD9">
              <w:rPr>
                <w:rFonts w:ascii="Arial" w:hAnsi="Arial" w:cs="Arial"/>
              </w:rPr>
              <w:t xml:space="preserve">The </w:t>
            </w:r>
            <w:r w:rsidR="00FB4C39">
              <w:rPr>
                <w:rFonts w:ascii="Arial" w:hAnsi="Arial" w:cs="Arial"/>
              </w:rPr>
              <w:t>T</w:t>
            </w:r>
            <w:r w:rsidRPr="004B5CD9">
              <w:rPr>
                <w:rFonts w:ascii="Arial" w:hAnsi="Arial" w:cs="Arial"/>
              </w:rPr>
              <w:t>rust will develop a training and awareness package for all services in relation to EUPD which is being led by the Trust Medical Director.</w:t>
            </w:r>
          </w:p>
        </w:tc>
      </w:tr>
      <w:tr w:rsidR="00C709CF" w:rsidRPr="004B5CD9" w14:paraId="6A83577A" w14:textId="77777777" w:rsidTr="00111AE2">
        <w:trPr>
          <w:trHeight w:val="647"/>
          <w:jc w:val="center"/>
        </w:trPr>
        <w:tc>
          <w:tcPr>
            <w:tcW w:w="3256" w:type="dxa"/>
            <w:shd w:val="clear" w:color="auto" w:fill="auto"/>
          </w:tcPr>
          <w:p w14:paraId="5ADBD79D" w14:textId="19CDCB00" w:rsidR="00C709CF" w:rsidRPr="004B5CD9" w:rsidRDefault="00C709CF" w:rsidP="005926A1">
            <w:pPr>
              <w:spacing w:before="40" w:after="0" w:line="240" w:lineRule="auto"/>
              <w:ind w:left="-57" w:right="-57"/>
              <w:rPr>
                <w:rFonts w:ascii="Arial" w:hAnsi="Arial" w:cs="Arial"/>
              </w:rPr>
            </w:pPr>
            <w:r w:rsidRPr="004B5CD9">
              <w:rPr>
                <w:rFonts w:ascii="Arial" w:hAnsi="Arial" w:cs="Arial"/>
              </w:rPr>
              <w:t>Multi-agency engagement following incidents.</w:t>
            </w:r>
          </w:p>
        </w:tc>
        <w:tc>
          <w:tcPr>
            <w:tcW w:w="12332" w:type="dxa"/>
            <w:shd w:val="clear" w:color="auto" w:fill="auto"/>
          </w:tcPr>
          <w:p w14:paraId="3EEB78BA" w14:textId="4773CC2D" w:rsidR="00C709CF" w:rsidRPr="004B5CD9" w:rsidRDefault="00C709CF" w:rsidP="005926A1">
            <w:pPr>
              <w:spacing w:before="40" w:after="0" w:line="240" w:lineRule="auto"/>
              <w:ind w:left="-57" w:right="-57"/>
              <w:rPr>
                <w:rFonts w:ascii="Arial" w:hAnsi="Arial" w:cs="Arial"/>
              </w:rPr>
            </w:pPr>
            <w:r w:rsidRPr="004B5CD9">
              <w:rPr>
                <w:rFonts w:ascii="Arial" w:hAnsi="Arial" w:cs="Arial"/>
              </w:rPr>
              <w:t>It is known that patients are often known to multiple services both internally and externally. Works have been commissioned to consider agreements needed to enhance multi-agency working with partner agencies when an incident investigation has been commissioned to improve shared learning and enhance family liaison and support.</w:t>
            </w:r>
          </w:p>
        </w:tc>
      </w:tr>
      <w:tr w:rsidR="00C709CF" w:rsidRPr="004B5CD9" w14:paraId="70621F73" w14:textId="77777777" w:rsidTr="00111AE2">
        <w:trPr>
          <w:trHeight w:val="647"/>
          <w:jc w:val="center"/>
        </w:trPr>
        <w:tc>
          <w:tcPr>
            <w:tcW w:w="3256" w:type="dxa"/>
            <w:shd w:val="clear" w:color="auto" w:fill="auto"/>
          </w:tcPr>
          <w:p w14:paraId="4BBFD057"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Physical Health management within inpatient environments.</w:t>
            </w:r>
          </w:p>
        </w:tc>
        <w:tc>
          <w:tcPr>
            <w:tcW w:w="12332" w:type="dxa"/>
            <w:shd w:val="clear" w:color="auto" w:fill="auto"/>
          </w:tcPr>
          <w:p w14:paraId="18A87E76" w14:textId="1B0F7FAB" w:rsidR="00C709CF" w:rsidRPr="004B5CD9" w:rsidRDefault="00C709CF" w:rsidP="005926A1">
            <w:pPr>
              <w:spacing w:before="40" w:after="0" w:line="240" w:lineRule="auto"/>
              <w:ind w:left="-57" w:right="-57"/>
              <w:rPr>
                <w:rFonts w:ascii="Arial" w:hAnsi="Arial" w:cs="Arial"/>
              </w:rPr>
            </w:pPr>
            <w:r w:rsidRPr="004B5CD9">
              <w:rPr>
                <w:rFonts w:ascii="Arial" w:hAnsi="Arial" w:cs="Arial"/>
              </w:rPr>
              <w:t>Quality improvement work in relation to improving physical healthcare management, observation, and care planning within Older People</w:t>
            </w:r>
            <w:r w:rsidR="00A224B0">
              <w:rPr>
                <w:rFonts w:ascii="Arial" w:hAnsi="Arial" w:cs="Arial"/>
              </w:rPr>
              <w:t>’</w:t>
            </w:r>
            <w:r w:rsidRPr="004B5CD9">
              <w:rPr>
                <w:rFonts w:ascii="Arial" w:hAnsi="Arial" w:cs="Arial"/>
              </w:rPr>
              <w:t>s services.</w:t>
            </w:r>
          </w:p>
          <w:p w14:paraId="13083B14" w14:textId="3CA18B94" w:rsidR="00C709CF" w:rsidRPr="004B5CD9" w:rsidRDefault="00C709CF" w:rsidP="005926A1">
            <w:pPr>
              <w:spacing w:before="40" w:after="0" w:line="240" w:lineRule="auto"/>
              <w:ind w:left="-57" w:right="-57"/>
              <w:rPr>
                <w:rFonts w:ascii="Arial" w:hAnsi="Arial" w:cs="Arial"/>
              </w:rPr>
            </w:pPr>
            <w:r w:rsidRPr="004B5CD9">
              <w:rPr>
                <w:rFonts w:ascii="Arial" w:hAnsi="Arial" w:cs="Arial"/>
              </w:rPr>
              <w:t>Enhancement of wound care management and infection prevention and control investigation and follow up within inpatient services.</w:t>
            </w:r>
          </w:p>
          <w:p w14:paraId="3DCF294F"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Introduction of RESTORE2 into ILS training framework including review of current ILS provision.</w:t>
            </w:r>
          </w:p>
          <w:p w14:paraId="4F709AA2" w14:textId="1C74790C" w:rsidR="00C709CF" w:rsidRPr="004B5CD9" w:rsidRDefault="00C709CF" w:rsidP="005926A1">
            <w:pPr>
              <w:spacing w:before="40" w:after="0" w:line="240" w:lineRule="auto"/>
              <w:ind w:left="-57" w:right="-57"/>
              <w:rPr>
                <w:rFonts w:ascii="Arial" w:hAnsi="Arial" w:cs="Arial"/>
              </w:rPr>
            </w:pPr>
            <w:r w:rsidRPr="004B5CD9">
              <w:rPr>
                <w:rFonts w:ascii="Arial" w:hAnsi="Arial" w:cs="Arial"/>
              </w:rPr>
              <w:t>Transition agreed to Level 2 and Level 3 resuscitation training and adoption of more recognition of Deteriorating Patient scenarios in training to aid clinicians (Bluebell ward first adopter).</w:t>
            </w:r>
          </w:p>
          <w:p w14:paraId="2DE91803"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Establish a physical health reporting working group to establish the new system one reporting frameworks to improve reports for assurance.</w:t>
            </w:r>
          </w:p>
          <w:p w14:paraId="71374515" w14:textId="45C27144" w:rsidR="00C709CF" w:rsidRPr="004B5CD9" w:rsidRDefault="00C709CF" w:rsidP="005926A1">
            <w:pPr>
              <w:spacing w:before="40" w:after="0" w:line="240" w:lineRule="auto"/>
              <w:ind w:left="-57" w:right="-57"/>
              <w:rPr>
                <w:rFonts w:ascii="Arial" w:hAnsi="Arial" w:cs="Arial"/>
              </w:rPr>
            </w:pPr>
            <w:r w:rsidRPr="004B5CD9">
              <w:rPr>
                <w:rFonts w:ascii="Arial" w:hAnsi="Arial" w:cs="Arial"/>
              </w:rPr>
              <w:t>Introduction of RESTORE2 into ILS / Level 2 and level 3 training framework including review of current ILS provision</w:t>
            </w:r>
            <w:r w:rsidR="005C6D3A" w:rsidRPr="004B5CD9">
              <w:rPr>
                <w:rFonts w:ascii="Arial" w:hAnsi="Arial" w:cs="Arial"/>
              </w:rPr>
              <w:t>.</w:t>
            </w:r>
          </w:p>
        </w:tc>
      </w:tr>
      <w:tr w:rsidR="00C709CF" w:rsidRPr="004B5CD9" w14:paraId="7F41E46D" w14:textId="77777777" w:rsidTr="00111AE2">
        <w:trPr>
          <w:jc w:val="center"/>
        </w:trPr>
        <w:tc>
          <w:tcPr>
            <w:tcW w:w="3256" w:type="dxa"/>
            <w:shd w:val="clear" w:color="auto" w:fill="auto"/>
          </w:tcPr>
          <w:p w14:paraId="4189AD2C" w14:textId="2EEDA85F" w:rsidR="00C709CF" w:rsidRPr="004B5CD9" w:rsidRDefault="00C709CF" w:rsidP="005926A1">
            <w:pPr>
              <w:spacing w:before="40" w:after="0" w:line="240" w:lineRule="auto"/>
              <w:ind w:left="-57" w:right="-57"/>
              <w:rPr>
                <w:rFonts w:ascii="Arial" w:hAnsi="Arial" w:cs="Arial"/>
              </w:rPr>
            </w:pPr>
            <w:r w:rsidRPr="004B5CD9">
              <w:rPr>
                <w:rFonts w:ascii="Arial" w:hAnsi="Arial" w:cs="Arial"/>
              </w:rPr>
              <w:t>MDT process improvements within CMHTs.</w:t>
            </w:r>
          </w:p>
        </w:tc>
        <w:tc>
          <w:tcPr>
            <w:tcW w:w="12332" w:type="dxa"/>
            <w:shd w:val="clear" w:color="auto" w:fill="auto"/>
          </w:tcPr>
          <w:p w14:paraId="59C54055" w14:textId="6A95ACC8" w:rsidR="00C709CF" w:rsidRPr="004B5CD9" w:rsidRDefault="00C709CF" w:rsidP="005926A1">
            <w:pPr>
              <w:spacing w:before="40" w:after="0" w:line="240" w:lineRule="auto"/>
              <w:ind w:left="-57" w:right="-57"/>
              <w:rPr>
                <w:rFonts w:ascii="Arial" w:hAnsi="Arial" w:cs="Arial"/>
              </w:rPr>
            </w:pPr>
            <w:r w:rsidRPr="004B5CD9">
              <w:rPr>
                <w:rFonts w:ascii="Arial" w:hAnsi="Arial" w:cs="Arial"/>
              </w:rPr>
              <w:t>Investigations have highlighted themes in relation to MDT processes within CMHTs and works are currently underway to review the EPR and recording documentation and MDT process to ensure this is fit for purpose and being adhered to.</w:t>
            </w:r>
          </w:p>
        </w:tc>
      </w:tr>
      <w:tr w:rsidR="00C709CF" w:rsidRPr="004B5CD9" w14:paraId="58D4D873" w14:textId="77777777" w:rsidTr="00111AE2">
        <w:trPr>
          <w:jc w:val="center"/>
        </w:trPr>
        <w:tc>
          <w:tcPr>
            <w:tcW w:w="3256" w:type="dxa"/>
            <w:shd w:val="clear" w:color="auto" w:fill="auto"/>
          </w:tcPr>
          <w:p w14:paraId="1DE52ADA"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Self-harm within inpatient environments including management of contraband.</w:t>
            </w:r>
          </w:p>
        </w:tc>
        <w:tc>
          <w:tcPr>
            <w:tcW w:w="12332" w:type="dxa"/>
            <w:shd w:val="clear" w:color="auto" w:fill="auto"/>
          </w:tcPr>
          <w:p w14:paraId="7BA9AD68" w14:textId="12BDD225" w:rsidR="00C709CF" w:rsidRPr="004B5CD9" w:rsidRDefault="00C709CF" w:rsidP="005926A1">
            <w:pPr>
              <w:spacing w:before="40" w:after="0" w:line="240" w:lineRule="auto"/>
              <w:ind w:left="-57" w:right="-57"/>
              <w:rPr>
                <w:rFonts w:ascii="Arial" w:hAnsi="Arial" w:cs="Arial"/>
              </w:rPr>
            </w:pPr>
            <w:r w:rsidRPr="004B5CD9">
              <w:rPr>
                <w:rFonts w:ascii="Arial" w:hAnsi="Arial" w:cs="Arial"/>
              </w:rPr>
              <w:t>Adoption of the CQC/MHLD Nurse Directors forum guidance for ligature risk assessment processes.</w:t>
            </w:r>
          </w:p>
          <w:p w14:paraId="376E622C" w14:textId="2E82F7C5" w:rsidR="00C709CF" w:rsidRPr="004B5CD9" w:rsidRDefault="00C709CF" w:rsidP="005926A1">
            <w:pPr>
              <w:spacing w:before="40" w:after="0" w:line="240" w:lineRule="auto"/>
              <w:ind w:left="-57" w:right="-57"/>
              <w:rPr>
                <w:rFonts w:ascii="Arial" w:hAnsi="Arial" w:cs="Arial"/>
              </w:rPr>
            </w:pPr>
            <w:r w:rsidRPr="004B5CD9">
              <w:rPr>
                <w:rFonts w:ascii="Arial" w:hAnsi="Arial" w:cs="Arial"/>
              </w:rPr>
              <w:t>Risk assessment has new section on the risk assessment tool in the EPR</w:t>
            </w:r>
            <w:r w:rsidR="005C22DF">
              <w:rPr>
                <w:rFonts w:ascii="Arial" w:hAnsi="Arial" w:cs="Arial"/>
                <w:sz w:val="2"/>
              </w:rPr>
              <w:t>.</w:t>
            </w:r>
          </w:p>
          <w:p w14:paraId="20B90156"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lastRenderedPageBreak/>
              <w:t>Quality Improvement programme in relation to self-harm via sharps of females within inpatient services (local priority)- currently on hold</w:t>
            </w:r>
          </w:p>
          <w:p w14:paraId="7475016D" w14:textId="3692B36E" w:rsidR="00C709CF" w:rsidRPr="004B5CD9" w:rsidRDefault="00C709CF" w:rsidP="005926A1">
            <w:pPr>
              <w:spacing w:before="40" w:after="0" w:line="240" w:lineRule="auto"/>
              <w:ind w:left="-57" w:right="-57"/>
              <w:rPr>
                <w:rFonts w:ascii="Arial" w:hAnsi="Arial" w:cs="Arial"/>
              </w:rPr>
            </w:pPr>
            <w:r w:rsidRPr="004B5CD9">
              <w:rPr>
                <w:rFonts w:ascii="Arial" w:hAnsi="Arial" w:cs="Arial"/>
              </w:rPr>
              <w:t>Improvement to environment – now using convex mirrors and zonal observations on female wards, changed ligature environment risk assessment</w:t>
            </w:r>
            <w:r w:rsidR="005C22DF">
              <w:rPr>
                <w:rFonts w:ascii="Arial" w:hAnsi="Arial" w:cs="Arial"/>
                <w:sz w:val="2"/>
              </w:rPr>
              <w:t>.</w:t>
            </w:r>
          </w:p>
          <w:p w14:paraId="47C4B3D9" w14:textId="52E07746" w:rsidR="00C709CF" w:rsidRPr="004B5CD9" w:rsidRDefault="00C709CF" w:rsidP="005926A1">
            <w:pPr>
              <w:spacing w:before="40" w:after="0" w:line="240" w:lineRule="auto"/>
              <w:ind w:left="-57" w:right="-57"/>
              <w:rPr>
                <w:rFonts w:ascii="Arial" w:hAnsi="Arial" w:cs="Arial"/>
              </w:rPr>
            </w:pPr>
            <w:r w:rsidRPr="004B5CD9">
              <w:rPr>
                <w:rFonts w:ascii="Arial" w:hAnsi="Arial" w:cs="Arial"/>
              </w:rPr>
              <w:t>Improvement to therapeutic engagements</w:t>
            </w:r>
          </w:p>
          <w:p w14:paraId="60347268" w14:textId="084C8D7A" w:rsidR="00C709CF" w:rsidRPr="004B5CD9" w:rsidRDefault="00C709CF" w:rsidP="005926A1">
            <w:pPr>
              <w:spacing w:before="40" w:after="0" w:line="240" w:lineRule="auto"/>
              <w:ind w:left="-57" w:right="-57"/>
              <w:rPr>
                <w:rFonts w:ascii="Arial" w:hAnsi="Arial" w:cs="Arial"/>
              </w:rPr>
            </w:pPr>
            <w:r w:rsidRPr="004B5CD9">
              <w:rPr>
                <w:rFonts w:ascii="Arial" w:hAnsi="Arial" w:cs="Arial"/>
              </w:rPr>
              <w:t>Improvement to risk assessment and management including observation levels - observation booklet in place</w:t>
            </w:r>
            <w:r w:rsidR="001F0B3A">
              <w:rPr>
                <w:rFonts w:ascii="Arial" w:hAnsi="Arial" w:cs="Arial"/>
                <w:sz w:val="2"/>
              </w:rPr>
              <w:t>.</w:t>
            </w:r>
          </w:p>
          <w:p w14:paraId="5715F32B" w14:textId="739F5CDD" w:rsidR="00C709CF" w:rsidRPr="009D3AC4" w:rsidRDefault="00C709CF" w:rsidP="005926A1">
            <w:pPr>
              <w:spacing w:before="40" w:after="0" w:line="240" w:lineRule="auto"/>
              <w:ind w:left="-57" w:right="-57"/>
              <w:rPr>
                <w:rFonts w:ascii="Arial" w:hAnsi="Arial" w:cs="Arial"/>
                <w:sz w:val="2"/>
              </w:rPr>
            </w:pPr>
            <w:r w:rsidRPr="004B5CD9">
              <w:rPr>
                <w:rFonts w:ascii="Arial" w:hAnsi="Arial" w:cs="Arial"/>
              </w:rPr>
              <w:t>To continue commissioned working group to review handheld clinical devices and compliance with observations including physical health observations</w:t>
            </w:r>
            <w:r w:rsidR="00AC183C">
              <w:rPr>
                <w:rFonts w:ascii="Arial" w:hAnsi="Arial" w:cs="Arial"/>
                <w:sz w:val="2"/>
              </w:rPr>
              <w:t>.</w:t>
            </w:r>
          </w:p>
          <w:p w14:paraId="3412DA6E" w14:textId="709E8448" w:rsidR="00C709CF" w:rsidRPr="004B5CD9" w:rsidRDefault="00C709CF" w:rsidP="005926A1">
            <w:pPr>
              <w:spacing w:before="40" w:after="0" w:line="240" w:lineRule="auto"/>
              <w:ind w:left="-57" w:right="-57"/>
              <w:rPr>
                <w:rFonts w:ascii="Arial" w:hAnsi="Arial" w:cs="Arial"/>
              </w:rPr>
            </w:pPr>
            <w:r w:rsidRPr="004B5CD9">
              <w:rPr>
                <w:rFonts w:ascii="Arial" w:hAnsi="Arial" w:cs="Arial"/>
              </w:rPr>
              <w:t>Ligature training package in place and is currently being rolled out including competency assessment</w:t>
            </w:r>
            <w:r w:rsidR="001F0B3A">
              <w:rPr>
                <w:rFonts w:ascii="Arial" w:hAnsi="Arial" w:cs="Arial"/>
                <w:sz w:val="2"/>
              </w:rPr>
              <w:t>.</w:t>
            </w:r>
          </w:p>
          <w:p w14:paraId="525288DA" w14:textId="1B93F43B" w:rsidR="00C709CF" w:rsidRPr="004B5CD9" w:rsidRDefault="00C709CF" w:rsidP="005926A1">
            <w:pPr>
              <w:spacing w:before="40" w:after="0" w:line="240" w:lineRule="auto"/>
              <w:ind w:left="-57" w:right="-57"/>
              <w:rPr>
                <w:rFonts w:ascii="Arial" w:hAnsi="Arial" w:cs="Arial"/>
              </w:rPr>
            </w:pPr>
            <w:r w:rsidRPr="004B5CD9">
              <w:rPr>
                <w:rFonts w:ascii="Arial" w:hAnsi="Arial" w:cs="Arial"/>
              </w:rPr>
              <w:t>Green zone – within inpatient areas there is an area painted green which holds emergency equipment such as ligature knife, resuscitation equipment so is easily identifiable</w:t>
            </w:r>
            <w:r w:rsidR="001F0B3A">
              <w:rPr>
                <w:rFonts w:ascii="Arial" w:hAnsi="Arial" w:cs="Arial"/>
                <w:sz w:val="2"/>
              </w:rPr>
              <w:t>.</w:t>
            </w:r>
          </w:p>
          <w:p w14:paraId="43D83778" w14:textId="1FAADA9D" w:rsidR="00C709CF" w:rsidRPr="004B5CD9" w:rsidRDefault="00C709CF" w:rsidP="005926A1">
            <w:pPr>
              <w:spacing w:before="40" w:after="0" w:line="240" w:lineRule="auto"/>
              <w:ind w:left="-57" w:right="-57"/>
              <w:rPr>
                <w:rFonts w:ascii="Arial" w:hAnsi="Arial" w:cs="Arial"/>
              </w:rPr>
            </w:pPr>
            <w:r w:rsidRPr="004B5CD9">
              <w:rPr>
                <w:rFonts w:ascii="Arial" w:hAnsi="Arial" w:cs="Arial"/>
              </w:rPr>
              <w:t>Ligature risk reduction working group</w:t>
            </w:r>
            <w:r w:rsidR="005C6D3A" w:rsidRPr="004B5CD9">
              <w:rPr>
                <w:rFonts w:ascii="Arial" w:hAnsi="Arial" w:cs="Arial"/>
              </w:rPr>
              <w:t>.</w:t>
            </w:r>
          </w:p>
        </w:tc>
      </w:tr>
      <w:tr w:rsidR="00C709CF" w:rsidRPr="004B5CD9" w14:paraId="2E4E6286" w14:textId="77777777" w:rsidTr="00111AE2">
        <w:trPr>
          <w:jc w:val="center"/>
        </w:trPr>
        <w:tc>
          <w:tcPr>
            <w:tcW w:w="3256" w:type="dxa"/>
            <w:shd w:val="clear" w:color="auto" w:fill="auto"/>
          </w:tcPr>
          <w:p w14:paraId="78809628"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lastRenderedPageBreak/>
              <w:t>Dissemination of learning and service improvements following incidents including assurance and governance.</w:t>
            </w:r>
          </w:p>
        </w:tc>
        <w:tc>
          <w:tcPr>
            <w:tcW w:w="12332" w:type="dxa"/>
            <w:shd w:val="clear" w:color="auto" w:fill="auto"/>
          </w:tcPr>
          <w:p w14:paraId="780D6953" w14:textId="16D4F7B0" w:rsidR="00C709CF" w:rsidRPr="004B5CD9" w:rsidRDefault="00C709CF" w:rsidP="005926A1">
            <w:pPr>
              <w:spacing w:before="40" w:after="0" w:line="240" w:lineRule="auto"/>
              <w:ind w:left="-57" w:right="-57"/>
              <w:rPr>
                <w:rFonts w:ascii="Arial" w:hAnsi="Arial" w:cs="Arial"/>
              </w:rPr>
            </w:pPr>
            <w:r w:rsidRPr="004B5CD9">
              <w:rPr>
                <w:rFonts w:ascii="Arial" w:hAnsi="Arial" w:cs="Arial"/>
              </w:rPr>
              <w:t>Work is underway to improve the way in which the trust learning and improves from incidents, this will include a revision to the processes in place in relation to internal investigation recommendations, Case Record Review learning, Incident Review Tool learning and the revised Trust Mortality process.</w:t>
            </w:r>
          </w:p>
          <w:p w14:paraId="358E8B77" w14:textId="032ED66F" w:rsidR="00C709CF" w:rsidRPr="004B5CD9" w:rsidRDefault="00C709CF" w:rsidP="005926A1">
            <w:pPr>
              <w:spacing w:before="40" w:after="0" w:line="240" w:lineRule="auto"/>
              <w:ind w:left="-57" w:right="-57"/>
              <w:rPr>
                <w:rFonts w:ascii="Arial" w:hAnsi="Arial" w:cs="Arial"/>
              </w:rPr>
            </w:pPr>
            <w:r w:rsidRPr="004B5CD9">
              <w:rPr>
                <w:rFonts w:ascii="Arial" w:hAnsi="Arial" w:cs="Arial"/>
              </w:rPr>
              <w:t>Develop pathway to offer clear governance processes.</w:t>
            </w:r>
          </w:p>
          <w:p w14:paraId="388926E1" w14:textId="36E51C58" w:rsidR="00C709CF" w:rsidRPr="004B5CD9" w:rsidRDefault="00C709CF" w:rsidP="005926A1">
            <w:pPr>
              <w:spacing w:before="40" w:after="0" w:line="240" w:lineRule="auto"/>
              <w:ind w:left="-57" w:right="-57"/>
              <w:rPr>
                <w:rFonts w:ascii="Arial" w:hAnsi="Arial" w:cs="Arial"/>
              </w:rPr>
            </w:pPr>
            <w:r w:rsidRPr="004B5CD9">
              <w:rPr>
                <w:rFonts w:ascii="Arial" w:hAnsi="Arial" w:cs="Arial"/>
              </w:rPr>
              <w:t>Develop service line learning briefings specific to service learning.</w:t>
            </w:r>
          </w:p>
          <w:p w14:paraId="00A546A1" w14:textId="4983F604" w:rsidR="00C709CF" w:rsidRPr="004B5CD9" w:rsidRDefault="00C709CF" w:rsidP="005926A1">
            <w:pPr>
              <w:spacing w:before="40" w:after="0" w:line="240" w:lineRule="auto"/>
              <w:ind w:left="-57" w:right="-57"/>
              <w:rPr>
                <w:rFonts w:ascii="Arial" w:hAnsi="Arial" w:cs="Arial"/>
              </w:rPr>
            </w:pPr>
            <w:r w:rsidRPr="004B5CD9">
              <w:rPr>
                <w:rFonts w:ascii="Arial" w:hAnsi="Arial" w:cs="Arial"/>
              </w:rPr>
              <w:t>Trust</w:t>
            </w:r>
            <w:r w:rsidR="00912683">
              <w:rPr>
                <w:rFonts w:ascii="Arial" w:hAnsi="Arial" w:cs="Arial"/>
              </w:rPr>
              <w:t>-</w:t>
            </w:r>
            <w:r w:rsidRPr="004B5CD9">
              <w:rPr>
                <w:rFonts w:ascii="Arial" w:hAnsi="Arial" w:cs="Arial"/>
              </w:rPr>
              <w:t>wide learning the lessons to share high level responses and learning.</w:t>
            </w:r>
          </w:p>
          <w:p w14:paraId="5F934D80"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Develop better ways for monitoring and reporting emerging themes.</w:t>
            </w:r>
          </w:p>
          <w:p w14:paraId="31111E7D" w14:textId="6681D8A2" w:rsidR="00C709CF" w:rsidRPr="004B5CD9" w:rsidRDefault="00C709CF" w:rsidP="005926A1">
            <w:pPr>
              <w:spacing w:before="40" w:after="0" w:line="240" w:lineRule="auto"/>
              <w:ind w:left="-57" w:right="-57"/>
              <w:rPr>
                <w:rFonts w:ascii="Arial" w:hAnsi="Arial" w:cs="Arial"/>
              </w:rPr>
            </w:pPr>
            <w:r w:rsidRPr="004B5CD9">
              <w:rPr>
                <w:rFonts w:ascii="Arial" w:hAnsi="Arial" w:cs="Arial"/>
              </w:rPr>
              <w:t>Joined up working between services.</w:t>
            </w:r>
          </w:p>
          <w:p w14:paraId="78CB716E"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Improved monitoring of high-profile cases and joined up working between services involved.</w:t>
            </w:r>
          </w:p>
          <w:p w14:paraId="2FCB88DD"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 xml:space="preserve">Development of more collaborative Learning Responses. </w:t>
            </w:r>
          </w:p>
        </w:tc>
      </w:tr>
      <w:tr w:rsidR="00C709CF" w:rsidRPr="004B5CD9" w14:paraId="67FD8D91" w14:textId="77777777" w:rsidTr="00111AE2">
        <w:trPr>
          <w:trHeight w:val="70"/>
          <w:jc w:val="center"/>
        </w:trPr>
        <w:tc>
          <w:tcPr>
            <w:tcW w:w="3256" w:type="dxa"/>
            <w:shd w:val="clear" w:color="auto" w:fill="auto"/>
          </w:tcPr>
          <w:p w14:paraId="2F02E280" w14:textId="3139FE9C" w:rsidR="00C709CF" w:rsidRPr="004B5CD9" w:rsidRDefault="00C709CF" w:rsidP="005926A1">
            <w:pPr>
              <w:spacing w:before="40" w:after="0" w:line="240" w:lineRule="auto"/>
              <w:ind w:left="-57" w:right="-57"/>
              <w:rPr>
                <w:rFonts w:ascii="Arial" w:hAnsi="Arial" w:cs="Arial"/>
              </w:rPr>
            </w:pPr>
            <w:r w:rsidRPr="004B5CD9">
              <w:rPr>
                <w:rFonts w:ascii="Arial" w:hAnsi="Arial" w:cs="Arial"/>
              </w:rPr>
              <w:t>Application of red flags and flow of incidents resulting in death.</w:t>
            </w:r>
          </w:p>
        </w:tc>
        <w:tc>
          <w:tcPr>
            <w:tcW w:w="12332" w:type="dxa"/>
            <w:shd w:val="clear" w:color="auto" w:fill="auto"/>
          </w:tcPr>
          <w:p w14:paraId="1CB822B7"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Improvement in the application and identification of red flags for reporting death.</w:t>
            </w:r>
          </w:p>
          <w:p w14:paraId="5F1894A1"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Revision of current red flags for relevance given changes both nationally and locally.</w:t>
            </w:r>
          </w:p>
          <w:p w14:paraId="4D0ACFA3"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Redesign the function of the ‘Mortality’ process within structures through the Learning the Lessons subgroups.</w:t>
            </w:r>
          </w:p>
          <w:p w14:paraId="32CC7050"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Review the purpose and function of the Mortality Case Record Review panel and redesign this to one of audit and assurance.</w:t>
            </w:r>
          </w:p>
        </w:tc>
      </w:tr>
      <w:tr w:rsidR="00C709CF" w:rsidRPr="004B5CD9" w14:paraId="4DE14221" w14:textId="77777777" w:rsidTr="00111AE2">
        <w:trPr>
          <w:trHeight w:val="70"/>
          <w:jc w:val="center"/>
        </w:trPr>
        <w:tc>
          <w:tcPr>
            <w:tcW w:w="3256" w:type="dxa"/>
            <w:shd w:val="clear" w:color="auto" w:fill="auto"/>
          </w:tcPr>
          <w:p w14:paraId="284FD384" w14:textId="2994341D" w:rsidR="00C709CF" w:rsidRPr="004B5CD9" w:rsidRDefault="00C709CF" w:rsidP="005926A1">
            <w:pPr>
              <w:spacing w:before="40" w:after="0" w:line="240" w:lineRule="auto"/>
              <w:ind w:left="-57" w:right="-57"/>
              <w:rPr>
                <w:rFonts w:ascii="Arial" w:hAnsi="Arial" w:cs="Arial"/>
              </w:rPr>
            </w:pPr>
            <w:r w:rsidRPr="004B5CD9">
              <w:rPr>
                <w:rFonts w:ascii="Arial" w:hAnsi="Arial" w:cs="Arial"/>
              </w:rPr>
              <w:t>Interface between Mental Health and Substance Misuse service.</w:t>
            </w:r>
          </w:p>
        </w:tc>
        <w:tc>
          <w:tcPr>
            <w:tcW w:w="12332" w:type="dxa"/>
            <w:shd w:val="clear" w:color="auto" w:fill="auto"/>
          </w:tcPr>
          <w:p w14:paraId="19723829" w14:textId="66292B27" w:rsidR="00C709CF" w:rsidRPr="004B5CD9" w:rsidRDefault="00C709CF" w:rsidP="005926A1">
            <w:pPr>
              <w:spacing w:before="40" w:after="0" w:line="240" w:lineRule="auto"/>
              <w:ind w:left="-57" w:right="-57"/>
              <w:rPr>
                <w:rFonts w:ascii="Arial" w:hAnsi="Arial" w:cs="Arial"/>
              </w:rPr>
            </w:pPr>
            <w:r w:rsidRPr="004B5CD9">
              <w:rPr>
                <w:rFonts w:ascii="Arial" w:hAnsi="Arial" w:cs="Arial"/>
              </w:rPr>
              <w:t xml:space="preserve">Suspected Suicide of a patient who has a dual diagnosis of substance misuse and mental health but has been </w:t>
            </w:r>
            <w:r w:rsidR="00006E2E">
              <w:rPr>
                <w:rFonts w:ascii="Arial" w:hAnsi="Arial" w:cs="Arial"/>
              </w:rPr>
              <w:t>declined</w:t>
            </w:r>
            <w:r w:rsidRPr="004B5CD9">
              <w:rPr>
                <w:rFonts w:ascii="Arial" w:hAnsi="Arial" w:cs="Arial"/>
              </w:rPr>
              <w:t xml:space="preserve"> by Community Mental Health services is an area which has been noted through Case Record Review. This has been selected as a new local priority for the </w:t>
            </w:r>
            <w:r w:rsidR="00CC2CF5">
              <w:rPr>
                <w:rFonts w:ascii="Arial" w:hAnsi="Arial" w:cs="Arial"/>
              </w:rPr>
              <w:t>T</w:t>
            </w:r>
            <w:r w:rsidRPr="004B5CD9">
              <w:rPr>
                <w:rFonts w:ascii="Arial" w:hAnsi="Arial" w:cs="Arial"/>
              </w:rPr>
              <w:t>rust. Themes will be feed into Learning the Lessons subgroups for both services to jointly develop and improvement plan.</w:t>
            </w:r>
          </w:p>
        </w:tc>
      </w:tr>
      <w:tr w:rsidR="00C709CF" w:rsidRPr="004B5CD9" w14:paraId="15EA67B6" w14:textId="77777777" w:rsidTr="00111AE2">
        <w:trPr>
          <w:trHeight w:val="70"/>
          <w:jc w:val="center"/>
        </w:trPr>
        <w:tc>
          <w:tcPr>
            <w:tcW w:w="3256" w:type="dxa"/>
            <w:shd w:val="clear" w:color="auto" w:fill="auto"/>
          </w:tcPr>
          <w:p w14:paraId="456AB28D" w14:textId="17CD0700" w:rsidR="00C709CF" w:rsidRPr="004B5CD9" w:rsidRDefault="00C709CF" w:rsidP="005926A1">
            <w:pPr>
              <w:spacing w:before="40" w:after="0" w:line="240" w:lineRule="auto"/>
              <w:ind w:left="-57" w:right="-57"/>
              <w:rPr>
                <w:rFonts w:ascii="Arial" w:hAnsi="Arial" w:cs="Arial"/>
              </w:rPr>
            </w:pPr>
            <w:r w:rsidRPr="004B5CD9">
              <w:rPr>
                <w:rFonts w:ascii="Arial" w:hAnsi="Arial" w:cs="Arial"/>
              </w:rPr>
              <w:t>Substance Misuse services and Adult Acute Inpatient environments.</w:t>
            </w:r>
          </w:p>
        </w:tc>
        <w:tc>
          <w:tcPr>
            <w:tcW w:w="12332" w:type="dxa"/>
            <w:shd w:val="clear" w:color="auto" w:fill="auto"/>
          </w:tcPr>
          <w:p w14:paraId="2950A583"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rPr>
              <w:t>Learning Responses for unexpected deaths post discharge/ whilst on leave have highlighted gaps around knowledge, support and process for the management and support of risk in relation to addiction and substance misuse. Currently several actions in place. Improvement plan to be developed and managed through the services Learning the Lessons subgroup.</w:t>
            </w:r>
          </w:p>
        </w:tc>
      </w:tr>
      <w:tr w:rsidR="00C709CF" w:rsidRPr="004B5CD9" w14:paraId="1F598CFA" w14:textId="77777777" w:rsidTr="00111AE2">
        <w:trPr>
          <w:trHeight w:val="70"/>
          <w:jc w:val="center"/>
        </w:trPr>
        <w:tc>
          <w:tcPr>
            <w:tcW w:w="3256" w:type="dxa"/>
            <w:shd w:val="clear" w:color="auto" w:fill="auto"/>
          </w:tcPr>
          <w:p w14:paraId="5C9971C7" w14:textId="77777777" w:rsidR="00C709CF" w:rsidRPr="004B5CD9" w:rsidRDefault="00C709CF" w:rsidP="005926A1">
            <w:pPr>
              <w:spacing w:before="40" w:after="0" w:line="240" w:lineRule="auto"/>
              <w:ind w:left="-57" w:right="-57"/>
              <w:rPr>
                <w:rFonts w:ascii="Arial" w:hAnsi="Arial" w:cs="Arial"/>
              </w:rPr>
            </w:pPr>
            <w:r w:rsidRPr="004B5CD9">
              <w:rPr>
                <w:rFonts w:ascii="Arial" w:hAnsi="Arial" w:cs="Arial"/>
                <w:bCs/>
              </w:rPr>
              <w:t>Risk assessment, management, and care planning.</w:t>
            </w:r>
          </w:p>
        </w:tc>
        <w:tc>
          <w:tcPr>
            <w:tcW w:w="12332" w:type="dxa"/>
            <w:shd w:val="clear" w:color="auto" w:fill="auto"/>
          </w:tcPr>
          <w:p w14:paraId="05AED622" w14:textId="2534A7F8" w:rsidR="00C709CF" w:rsidRPr="004B5CD9" w:rsidRDefault="00C709CF" w:rsidP="005926A1">
            <w:pPr>
              <w:spacing w:before="40" w:after="0" w:line="240" w:lineRule="auto"/>
              <w:ind w:left="-57" w:right="-57"/>
              <w:jc w:val="both"/>
              <w:rPr>
                <w:rFonts w:ascii="Arial" w:hAnsi="Arial" w:cs="Arial"/>
                <w:bCs/>
                <w:kern w:val="2"/>
                <w14:ligatures w14:val="standardContextual"/>
              </w:rPr>
            </w:pPr>
            <w:r w:rsidRPr="004B5CD9">
              <w:rPr>
                <w:rFonts w:ascii="Arial" w:hAnsi="Arial" w:cs="Arial"/>
                <w:bCs/>
                <w:kern w:val="2"/>
                <w14:ligatures w14:val="standardContextual"/>
              </w:rPr>
              <w:t xml:space="preserve">This is an area which repeatedly shows need for improvement and the </w:t>
            </w:r>
            <w:r w:rsidR="00CC2CF5">
              <w:rPr>
                <w:rFonts w:ascii="Arial" w:hAnsi="Arial" w:cs="Arial"/>
                <w:bCs/>
                <w:kern w:val="2"/>
                <w14:ligatures w14:val="standardContextual"/>
              </w:rPr>
              <w:t>T</w:t>
            </w:r>
            <w:r w:rsidRPr="004B5CD9">
              <w:rPr>
                <w:rFonts w:ascii="Arial" w:hAnsi="Arial" w:cs="Arial"/>
                <w:bCs/>
                <w:kern w:val="2"/>
                <w14:ligatures w14:val="standardContextual"/>
              </w:rPr>
              <w:t>rust is currently finalising a Safety Planning training package which will consist of 4 modules and incorporate suicide prevention.</w:t>
            </w:r>
          </w:p>
        </w:tc>
      </w:tr>
    </w:tbl>
    <w:p w14:paraId="4F7A2697" w14:textId="77777777" w:rsidR="004B5154" w:rsidRPr="004B5CD9" w:rsidRDefault="004B5154" w:rsidP="00997BA9">
      <w:pPr>
        <w:spacing w:after="0" w:line="240" w:lineRule="auto"/>
        <w:rPr>
          <w:rFonts w:ascii="Arial" w:hAnsi="Arial" w:cs="Arial"/>
        </w:rPr>
      </w:pPr>
    </w:p>
    <w:sectPr w:rsidR="004B5154" w:rsidRPr="004B5CD9" w:rsidSect="001E27B1">
      <w:pgSz w:w="16838" w:h="11906" w:orient="landscape"/>
      <w:pgMar w:top="680" w:right="680"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11BF" w14:textId="77777777" w:rsidR="00EE6D08" w:rsidRDefault="00EE6D08" w:rsidP="005E149E">
      <w:pPr>
        <w:spacing w:after="0" w:line="240" w:lineRule="auto"/>
      </w:pPr>
      <w:r>
        <w:separator/>
      </w:r>
    </w:p>
  </w:endnote>
  <w:endnote w:type="continuationSeparator" w:id="0">
    <w:p w14:paraId="11AE7682" w14:textId="77777777" w:rsidR="00EE6D08" w:rsidRDefault="00EE6D08" w:rsidP="005E149E">
      <w:pPr>
        <w:spacing w:after="0" w:line="240" w:lineRule="auto"/>
      </w:pPr>
      <w:r>
        <w:continuationSeparator/>
      </w:r>
    </w:p>
  </w:endnote>
  <w:endnote w:type="continuationNotice" w:id="1">
    <w:p w14:paraId="77D04F86" w14:textId="77777777" w:rsidR="00EE6D08" w:rsidRDefault="00EE6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8414" w14:textId="77777777" w:rsidR="00EE6D08" w:rsidRDefault="00EE6D08" w:rsidP="005E149E">
      <w:pPr>
        <w:spacing w:after="0" w:line="240" w:lineRule="auto"/>
      </w:pPr>
      <w:r>
        <w:separator/>
      </w:r>
    </w:p>
  </w:footnote>
  <w:footnote w:type="continuationSeparator" w:id="0">
    <w:p w14:paraId="1A1BEFD5" w14:textId="77777777" w:rsidR="00EE6D08" w:rsidRDefault="00EE6D08" w:rsidP="005E149E">
      <w:pPr>
        <w:spacing w:after="0" w:line="240" w:lineRule="auto"/>
      </w:pPr>
      <w:r>
        <w:continuationSeparator/>
      </w:r>
    </w:p>
  </w:footnote>
  <w:footnote w:type="continuationNotice" w:id="1">
    <w:p w14:paraId="0A7DAD21" w14:textId="77777777" w:rsidR="00EE6D08" w:rsidRDefault="00EE6D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14D"/>
    <w:multiLevelType w:val="hybridMultilevel"/>
    <w:tmpl w:val="F278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D6C37"/>
    <w:multiLevelType w:val="hybridMultilevel"/>
    <w:tmpl w:val="85348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C1505B"/>
    <w:multiLevelType w:val="hybridMultilevel"/>
    <w:tmpl w:val="D6A06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A31AFA"/>
    <w:multiLevelType w:val="hybridMultilevel"/>
    <w:tmpl w:val="21EC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12466"/>
    <w:multiLevelType w:val="hybridMultilevel"/>
    <w:tmpl w:val="393A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E2547"/>
    <w:multiLevelType w:val="hybridMultilevel"/>
    <w:tmpl w:val="969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704D4"/>
    <w:multiLevelType w:val="hybridMultilevel"/>
    <w:tmpl w:val="AC26E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E6FCD"/>
    <w:multiLevelType w:val="hybridMultilevel"/>
    <w:tmpl w:val="43E2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21063"/>
    <w:multiLevelType w:val="hybridMultilevel"/>
    <w:tmpl w:val="CBD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85ED4"/>
    <w:multiLevelType w:val="hybridMultilevel"/>
    <w:tmpl w:val="7EBEC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3D5FD9"/>
    <w:multiLevelType w:val="hybridMultilevel"/>
    <w:tmpl w:val="99167F4A"/>
    <w:lvl w:ilvl="0" w:tplc="08090001">
      <w:start w:val="1"/>
      <w:numFmt w:val="bullet"/>
      <w:lvlText w:val=""/>
      <w:lvlJc w:val="left"/>
      <w:pPr>
        <w:ind w:left="720" w:hanging="360"/>
      </w:pPr>
      <w:rPr>
        <w:rFonts w:ascii="Symbol" w:hAnsi="Symbol" w:hint="default"/>
      </w:rPr>
    </w:lvl>
    <w:lvl w:ilvl="1" w:tplc="27BA5DD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32524"/>
    <w:multiLevelType w:val="hybridMultilevel"/>
    <w:tmpl w:val="1818C50E"/>
    <w:lvl w:ilvl="0" w:tplc="08090001">
      <w:start w:val="1"/>
      <w:numFmt w:val="bullet"/>
      <w:lvlText w:val=""/>
      <w:lvlJc w:val="left"/>
      <w:pPr>
        <w:ind w:left="720" w:hanging="360"/>
      </w:pPr>
      <w:rPr>
        <w:rFonts w:ascii="Symbol" w:hAnsi="Symbol" w:hint="default"/>
      </w:rPr>
    </w:lvl>
    <w:lvl w:ilvl="1" w:tplc="27BA5DD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7010D"/>
    <w:multiLevelType w:val="multilevel"/>
    <w:tmpl w:val="212AA4E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767B3"/>
    <w:multiLevelType w:val="hybridMultilevel"/>
    <w:tmpl w:val="BB1C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C6833"/>
    <w:multiLevelType w:val="hybridMultilevel"/>
    <w:tmpl w:val="5374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A197A"/>
    <w:multiLevelType w:val="hybridMultilevel"/>
    <w:tmpl w:val="0CD6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96F3D"/>
    <w:multiLevelType w:val="hybridMultilevel"/>
    <w:tmpl w:val="AA7E4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175CB"/>
    <w:multiLevelType w:val="hybridMultilevel"/>
    <w:tmpl w:val="5E44D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E6892"/>
    <w:multiLevelType w:val="hybridMultilevel"/>
    <w:tmpl w:val="0822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11E8B"/>
    <w:multiLevelType w:val="hybridMultilevel"/>
    <w:tmpl w:val="E758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03FA7"/>
    <w:multiLevelType w:val="hybridMultilevel"/>
    <w:tmpl w:val="67AC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C0F57"/>
    <w:multiLevelType w:val="hybridMultilevel"/>
    <w:tmpl w:val="63CA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03263"/>
    <w:multiLevelType w:val="hybridMultilevel"/>
    <w:tmpl w:val="89C8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912BB"/>
    <w:multiLevelType w:val="hybridMultilevel"/>
    <w:tmpl w:val="7442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23891"/>
    <w:multiLevelType w:val="hybridMultilevel"/>
    <w:tmpl w:val="BD1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10292"/>
    <w:multiLevelType w:val="hybridMultilevel"/>
    <w:tmpl w:val="9C42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B560E"/>
    <w:multiLevelType w:val="hybridMultilevel"/>
    <w:tmpl w:val="4D80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A0E45"/>
    <w:multiLevelType w:val="hybridMultilevel"/>
    <w:tmpl w:val="3AB0C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65DC3"/>
    <w:multiLevelType w:val="hybridMultilevel"/>
    <w:tmpl w:val="B2AACFA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395925"/>
    <w:multiLevelType w:val="hybridMultilevel"/>
    <w:tmpl w:val="E1F6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06F99"/>
    <w:multiLevelType w:val="hybridMultilevel"/>
    <w:tmpl w:val="280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02DE7"/>
    <w:multiLevelType w:val="hybridMultilevel"/>
    <w:tmpl w:val="8936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25ABC"/>
    <w:multiLevelType w:val="hybridMultilevel"/>
    <w:tmpl w:val="6820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D6210"/>
    <w:multiLevelType w:val="hybridMultilevel"/>
    <w:tmpl w:val="AFD61A62"/>
    <w:lvl w:ilvl="0" w:tplc="08090001">
      <w:start w:val="1"/>
      <w:numFmt w:val="bullet"/>
      <w:lvlText w:val=""/>
      <w:lvlJc w:val="left"/>
      <w:pPr>
        <w:ind w:left="720" w:hanging="360"/>
      </w:pPr>
      <w:rPr>
        <w:rFonts w:ascii="Symbol" w:hAnsi="Symbol" w:hint="default"/>
      </w:rPr>
    </w:lvl>
    <w:lvl w:ilvl="1" w:tplc="27BA5DD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53F96"/>
    <w:multiLevelType w:val="hybridMultilevel"/>
    <w:tmpl w:val="E19A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95A86"/>
    <w:multiLevelType w:val="hybridMultilevel"/>
    <w:tmpl w:val="292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A6F5F"/>
    <w:multiLevelType w:val="hybridMultilevel"/>
    <w:tmpl w:val="D3CA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72462"/>
    <w:multiLevelType w:val="hybridMultilevel"/>
    <w:tmpl w:val="03A6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C3559"/>
    <w:multiLevelType w:val="hybridMultilevel"/>
    <w:tmpl w:val="5842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D3042"/>
    <w:multiLevelType w:val="hybridMultilevel"/>
    <w:tmpl w:val="2F7A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519C2"/>
    <w:multiLevelType w:val="hybridMultilevel"/>
    <w:tmpl w:val="17709FF4"/>
    <w:lvl w:ilvl="0" w:tplc="D278E06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A43755"/>
    <w:multiLevelType w:val="hybridMultilevel"/>
    <w:tmpl w:val="02FC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564D2"/>
    <w:multiLevelType w:val="hybridMultilevel"/>
    <w:tmpl w:val="BC7C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91159">
    <w:abstractNumId w:val="38"/>
  </w:num>
  <w:num w:numId="2" w16cid:durableId="578174196">
    <w:abstractNumId w:val="17"/>
  </w:num>
  <w:num w:numId="3" w16cid:durableId="1811753112">
    <w:abstractNumId w:val="2"/>
  </w:num>
  <w:num w:numId="4" w16cid:durableId="1218711663">
    <w:abstractNumId w:val="6"/>
  </w:num>
  <w:num w:numId="5" w16cid:durableId="889420381">
    <w:abstractNumId w:val="28"/>
  </w:num>
  <w:num w:numId="6" w16cid:durableId="725029217">
    <w:abstractNumId w:val="25"/>
  </w:num>
  <w:num w:numId="7" w16cid:durableId="1714111591">
    <w:abstractNumId w:val="12"/>
  </w:num>
  <w:num w:numId="8" w16cid:durableId="70083409">
    <w:abstractNumId w:val="36"/>
  </w:num>
  <w:num w:numId="9" w16cid:durableId="1548641776">
    <w:abstractNumId w:val="3"/>
  </w:num>
  <w:num w:numId="10" w16cid:durableId="746612677">
    <w:abstractNumId w:val="16"/>
  </w:num>
  <w:num w:numId="11" w16cid:durableId="585310429">
    <w:abstractNumId w:val="41"/>
  </w:num>
  <w:num w:numId="12" w16cid:durableId="444277646">
    <w:abstractNumId w:val="23"/>
  </w:num>
  <w:num w:numId="13" w16cid:durableId="1945259949">
    <w:abstractNumId w:val="33"/>
  </w:num>
  <w:num w:numId="14" w16cid:durableId="860894955">
    <w:abstractNumId w:val="11"/>
  </w:num>
  <w:num w:numId="15" w16cid:durableId="1682470452">
    <w:abstractNumId w:val="10"/>
  </w:num>
  <w:num w:numId="16" w16cid:durableId="349331251">
    <w:abstractNumId w:val="27"/>
  </w:num>
  <w:num w:numId="17" w16cid:durableId="1055543014">
    <w:abstractNumId w:val="37"/>
  </w:num>
  <w:num w:numId="18" w16cid:durableId="1212886097">
    <w:abstractNumId w:val="19"/>
  </w:num>
  <w:num w:numId="19" w16cid:durableId="1158154590">
    <w:abstractNumId w:val="20"/>
  </w:num>
  <w:num w:numId="20" w16cid:durableId="428505125">
    <w:abstractNumId w:val="34"/>
  </w:num>
  <w:num w:numId="21" w16cid:durableId="269438373">
    <w:abstractNumId w:val="5"/>
  </w:num>
  <w:num w:numId="22" w16cid:durableId="159735226">
    <w:abstractNumId w:val="4"/>
  </w:num>
  <w:num w:numId="23" w16cid:durableId="2027898685">
    <w:abstractNumId w:val="0"/>
  </w:num>
  <w:num w:numId="24" w16cid:durableId="172572580">
    <w:abstractNumId w:val="15"/>
  </w:num>
  <w:num w:numId="25" w16cid:durableId="2087799453">
    <w:abstractNumId w:val="40"/>
  </w:num>
  <w:num w:numId="26" w16cid:durableId="56906649">
    <w:abstractNumId w:val="29"/>
  </w:num>
  <w:num w:numId="27" w16cid:durableId="1615752752">
    <w:abstractNumId w:val="13"/>
  </w:num>
  <w:num w:numId="28" w16cid:durableId="74086785">
    <w:abstractNumId w:val="26"/>
  </w:num>
  <w:num w:numId="29" w16cid:durableId="1441147014">
    <w:abstractNumId w:val="14"/>
  </w:num>
  <w:num w:numId="30" w16cid:durableId="2115905804">
    <w:abstractNumId w:val="24"/>
  </w:num>
  <w:num w:numId="31" w16cid:durableId="2140343153">
    <w:abstractNumId w:val="42"/>
  </w:num>
  <w:num w:numId="32" w16cid:durableId="1296057453">
    <w:abstractNumId w:val="7"/>
  </w:num>
  <w:num w:numId="33" w16cid:durableId="632685153">
    <w:abstractNumId w:val="1"/>
  </w:num>
  <w:num w:numId="34" w16cid:durableId="1754428851">
    <w:abstractNumId w:val="32"/>
  </w:num>
  <w:num w:numId="35" w16cid:durableId="797258153">
    <w:abstractNumId w:val="9"/>
  </w:num>
  <w:num w:numId="36" w16cid:durableId="2111313171">
    <w:abstractNumId w:val="31"/>
  </w:num>
  <w:num w:numId="37" w16cid:durableId="540631537">
    <w:abstractNumId w:val="22"/>
  </w:num>
  <w:num w:numId="38" w16cid:durableId="90469710">
    <w:abstractNumId w:val="22"/>
  </w:num>
  <w:num w:numId="39" w16cid:durableId="1009411363">
    <w:abstractNumId w:val="39"/>
  </w:num>
  <w:num w:numId="40" w16cid:durableId="1507793967">
    <w:abstractNumId w:val="8"/>
  </w:num>
  <w:num w:numId="41" w16cid:durableId="1431509432">
    <w:abstractNumId w:val="18"/>
  </w:num>
  <w:num w:numId="42" w16cid:durableId="414789282">
    <w:abstractNumId w:val="21"/>
  </w:num>
  <w:num w:numId="43" w16cid:durableId="879053330">
    <w:abstractNumId w:val="35"/>
  </w:num>
  <w:num w:numId="44" w16cid:durableId="14683582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9E"/>
    <w:rsid w:val="00001014"/>
    <w:rsid w:val="00002785"/>
    <w:rsid w:val="000036FA"/>
    <w:rsid w:val="00004461"/>
    <w:rsid w:val="0000476C"/>
    <w:rsid w:val="00005445"/>
    <w:rsid w:val="0000615A"/>
    <w:rsid w:val="00006E2E"/>
    <w:rsid w:val="00007467"/>
    <w:rsid w:val="00007D3A"/>
    <w:rsid w:val="00010DEF"/>
    <w:rsid w:val="00017DD1"/>
    <w:rsid w:val="00021087"/>
    <w:rsid w:val="000213A6"/>
    <w:rsid w:val="000236A8"/>
    <w:rsid w:val="00023F90"/>
    <w:rsid w:val="00024899"/>
    <w:rsid w:val="00024D1D"/>
    <w:rsid w:val="000256A1"/>
    <w:rsid w:val="00025BF8"/>
    <w:rsid w:val="000260FB"/>
    <w:rsid w:val="000261E4"/>
    <w:rsid w:val="000316B8"/>
    <w:rsid w:val="0003395C"/>
    <w:rsid w:val="000353B4"/>
    <w:rsid w:val="00037F01"/>
    <w:rsid w:val="00041808"/>
    <w:rsid w:val="00041CE8"/>
    <w:rsid w:val="0004253C"/>
    <w:rsid w:val="0004616E"/>
    <w:rsid w:val="00046BA3"/>
    <w:rsid w:val="00047730"/>
    <w:rsid w:val="00047BCF"/>
    <w:rsid w:val="000514F4"/>
    <w:rsid w:val="00055502"/>
    <w:rsid w:val="00055F32"/>
    <w:rsid w:val="00056E78"/>
    <w:rsid w:val="00056EE2"/>
    <w:rsid w:val="0005721F"/>
    <w:rsid w:val="00060C34"/>
    <w:rsid w:val="00063D8A"/>
    <w:rsid w:val="000666F8"/>
    <w:rsid w:val="00071944"/>
    <w:rsid w:val="00071C05"/>
    <w:rsid w:val="000734D8"/>
    <w:rsid w:val="000768D4"/>
    <w:rsid w:val="000876D4"/>
    <w:rsid w:val="00090E38"/>
    <w:rsid w:val="00091112"/>
    <w:rsid w:val="00093BAD"/>
    <w:rsid w:val="00094735"/>
    <w:rsid w:val="000952B9"/>
    <w:rsid w:val="00096933"/>
    <w:rsid w:val="000974E4"/>
    <w:rsid w:val="000979D1"/>
    <w:rsid w:val="000A03F5"/>
    <w:rsid w:val="000A09A3"/>
    <w:rsid w:val="000A16E4"/>
    <w:rsid w:val="000A66BE"/>
    <w:rsid w:val="000A7614"/>
    <w:rsid w:val="000B3432"/>
    <w:rsid w:val="000B690A"/>
    <w:rsid w:val="000B72B6"/>
    <w:rsid w:val="000C0398"/>
    <w:rsid w:val="000C27EA"/>
    <w:rsid w:val="000C49D4"/>
    <w:rsid w:val="000C70D9"/>
    <w:rsid w:val="000C7395"/>
    <w:rsid w:val="000D18BD"/>
    <w:rsid w:val="000D6B11"/>
    <w:rsid w:val="000D6E54"/>
    <w:rsid w:val="000E08F6"/>
    <w:rsid w:val="000E125E"/>
    <w:rsid w:val="000E1B09"/>
    <w:rsid w:val="000E3E5E"/>
    <w:rsid w:val="000F0C92"/>
    <w:rsid w:val="000F0DF5"/>
    <w:rsid w:val="000F6F12"/>
    <w:rsid w:val="00103C41"/>
    <w:rsid w:val="00105087"/>
    <w:rsid w:val="00106CF2"/>
    <w:rsid w:val="00111894"/>
    <w:rsid w:val="00111AE2"/>
    <w:rsid w:val="00125074"/>
    <w:rsid w:val="00125812"/>
    <w:rsid w:val="00125CF9"/>
    <w:rsid w:val="0012662F"/>
    <w:rsid w:val="001316A9"/>
    <w:rsid w:val="00132913"/>
    <w:rsid w:val="0013527F"/>
    <w:rsid w:val="00135816"/>
    <w:rsid w:val="00135D16"/>
    <w:rsid w:val="0013752D"/>
    <w:rsid w:val="00137779"/>
    <w:rsid w:val="001408A7"/>
    <w:rsid w:val="00144DC2"/>
    <w:rsid w:val="00145C59"/>
    <w:rsid w:val="0015113F"/>
    <w:rsid w:val="00152210"/>
    <w:rsid w:val="00154390"/>
    <w:rsid w:val="00154855"/>
    <w:rsid w:val="0015488A"/>
    <w:rsid w:val="00156667"/>
    <w:rsid w:val="00160CB5"/>
    <w:rsid w:val="00160D98"/>
    <w:rsid w:val="00160EB0"/>
    <w:rsid w:val="001648E8"/>
    <w:rsid w:val="00167F59"/>
    <w:rsid w:val="00170772"/>
    <w:rsid w:val="001713F4"/>
    <w:rsid w:val="00172B2D"/>
    <w:rsid w:val="00174110"/>
    <w:rsid w:val="00180DA9"/>
    <w:rsid w:val="0018141A"/>
    <w:rsid w:val="00181464"/>
    <w:rsid w:val="0018147C"/>
    <w:rsid w:val="00183285"/>
    <w:rsid w:val="001853F9"/>
    <w:rsid w:val="00186BF1"/>
    <w:rsid w:val="0018719B"/>
    <w:rsid w:val="001920A0"/>
    <w:rsid w:val="0019617D"/>
    <w:rsid w:val="00197684"/>
    <w:rsid w:val="00197E2F"/>
    <w:rsid w:val="001A2708"/>
    <w:rsid w:val="001B6A53"/>
    <w:rsid w:val="001B6FBA"/>
    <w:rsid w:val="001C1B9B"/>
    <w:rsid w:val="001C23E4"/>
    <w:rsid w:val="001C2E24"/>
    <w:rsid w:val="001C3ED1"/>
    <w:rsid w:val="001C403B"/>
    <w:rsid w:val="001D0532"/>
    <w:rsid w:val="001D06DC"/>
    <w:rsid w:val="001D55AF"/>
    <w:rsid w:val="001E16EC"/>
    <w:rsid w:val="001E21CD"/>
    <w:rsid w:val="001E27B1"/>
    <w:rsid w:val="001E5FFD"/>
    <w:rsid w:val="001E6213"/>
    <w:rsid w:val="001F0B3A"/>
    <w:rsid w:val="001F1A9B"/>
    <w:rsid w:val="001F22A9"/>
    <w:rsid w:val="001F532B"/>
    <w:rsid w:val="001F67AF"/>
    <w:rsid w:val="001F67F1"/>
    <w:rsid w:val="001F71D4"/>
    <w:rsid w:val="001F7356"/>
    <w:rsid w:val="002011EE"/>
    <w:rsid w:val="00203679"/>
    <w:rsid w:val="00203F8E"/>
    <w:rsid w:val="0020559D"/>
    <w:rsid w:val="00205B6A"/>
    <w:rsid w:val="002146D6"/>
    <w:rsid w:val="00217A3D"/>
    <w:rsid w:val="00217FFC"/>
    <w:rsid w:val="002226F0"/>
    <w:rsid w:val="00222712"/>
    <w:rsid w:val="002231D2"/>
    <w:rsid w:val="00224F3F"/>
    <w:rsid w:val="002252A6"/>
    <w:rsid w:val="00226BC8"/>
    <w:rsid w:val="00230E4C"/>
    <w:rsid w:val="00232D1A"/>
    <w:rsid w:val="00232D40"/>
    <w:rsid w:val="00236A3E"/>
    <w:rsid w:val="0023780A"/>
    <w:rsid w:val="00237813"/>
    <w:rsid w:val="00237EFC"/>
    <w:rsid w:val="00237F34"/>
    <w:rsid w:val="00244574"/>
    <w:rsid w:val="00245F7F"/>
    <w:rsid w:val="0024A180"/>
    <w:rsid w:val="00250DD2"/>
    <w:rsid w:val="00250E47"/>
    <w:rsid w:val="00251346"/>
    <w:rsid w:val="00251840"/>
    <w:rsid w:val="00252ECF"/>
    <w:rsid w:val="0025394C"/>
    <w:rsid w:val="0025585E"/>
    <w:rsid w:val="0026242F"/>
    <w:rsid w:val="002624F8"/>
    <w:rsid w:val="00263B13"/>
    <w:rsid w:val="0026408E"/>
    <w:rsid w:val="002643EB"/>
    <w:rsid w:val="002648B4"/>
    <w:rsid w:val="0026611E"/>
    <w:rsid w:val="002675C1"/>
    <w:rsid w:val="002719DD"/>
    <w:rsid w:val="00276297"/>
    <w:rsid w:val="00277862"/>
    <w:rsid w:val="0028119E"/>
    <w:rsid w:val="002818C7"/>
    <w:rsid w:val="002822A2"/>
    <w:rsid w:val="002829E4"/>
    <w:rsid w:val="002831E2"/>
    <w:rsid w:val="00285688"/>
    <w:rsid w:val="00285B8B"/>
    <w:rsid w:val="00286DF1"/>
    <w:rsid w:val="002906F9"/>
    <w:rsid w:val="00291F45"/>
    <w:rsid w:val="00292E2A"/>
    <w:rsid w:val="00293025"/>
    <w:rsid w:val="00294964"/>
    <w:rsid w:val="00295547"/>
    <w:rsid w:val="002A18EE"/>
    <w:rsid w:val="002A2DDC"/>
    <w:rsid w:val="002A3115"/>
    <w:rsid w:val="002A4429"/>
    <w:rsid w:val="002A7CE4"/>
    <w:rsid w:val="002B2587"/>
    <w:rsid w:val="002C095A"/>
    <w:rsid w:val="002C11BB"/>
    <w:rsid w:val="002C1A75"/>
    <w:rsid w:val="002C29DE"/>
    <w:rsid w:val="002C3085"/>
    <w:rsid w:val="002C358E"/>
    <w:rsid w:val="002C3F87"/>
    <w:rsid w:val="002C585D"/>
    <w:rsid w:val="002C66EB"/>
    <w:rsid w:val="002D04AE"/>
    <w:rsid w:val="002D0608"/>
    <w:rsid w:val="002D0E07"/>
    <w:rsid w:val="002D1141"/>
    <w:rsid w:val="002D3237"/>
    <w:rsid w:val="002E025A"/>
    <w:rsid w:val="002E0E2E"/>
    <w:rsid w:val="002E2966"/>
    <w:rsid w:val="002E2F65"/>
    <w:rsid w:val="002E3A3E"/>
    <w:rsid w:val="002E4E2E"/>
    <w:rsid w:val="002F0A62"/>
    <w:rsid w:val="002F266A"/>
    <w:rsid w:val="002F36F4"/>
    <w:rsid w:val="002F4A27"/>
    <w:rsid w:val="00300764"/>
    <w:rsid w:val="00301B51"/>
    <w:rsid w:val="0030466E"/>
    <w:rsid w:val="00304BD5"/>
    <w:rsid w:val="00304F1E"/>
    <w:rsid w:val="00310E85"/>
    <w:rsid w:val="00311398"/>
    <w:rsid w:val="003116DB"/>
    <w:rsid w:val="003129EB"/>
    <w:rsid w:val="00316543"/>
    <w:rsid w:val="00326322"/>
    <w:rsid w:val="0033034E"/>
    <w:rsid w:val="003328B4"/>
    <w:rsid w:val="00333D8E"/>
    <w:rsid w:val="00335580"/>
    <w:rsid w:val="00335BEC"/>
    <w:rsid w:val="00336948"/>
    <w:rsid w:val="003422E2"/>
    <w:rsid w:val="00347F6E"/>
    <w:rsid w:val="00350E4D"/>
    <w:rsid w:val="00352042"/>
    <w:rsid w:val="003520ED"/>
    <w:rsid w:val="0035339D"/>
    <w:rsid w:val="00355AEB"/>
    <w:rsid w:val="00357674"/>
    <w:rsid w:val="00365019"/>
    <w:rsid w:val="00370499"/>
    <w:rsid w:val="0037213C"/>
    <w:rsid w:val="0037224C"/>
    <w:rsid w:val="00374341"/>
    <w:rsid w:val="00374608"/>
    <w:rsid w:val="00382421"/>
    <w:rsid w:val="00383186"/>
    <w:rsid w:val="0038651F"/>
    <w:rsid w:val="00387B29"/>
    <w:rsid w:val="00387EC2"/>
    <w:rsid w:val="003903AA"/>
    <w:rsid w:val="00393C32"/>
    <w:rsid w:val="00394E9D"/>
    <w:rsid w:val="003A0153"/>
    <w:rsid w:val="003A040A"/>
    <w:rsid w:val="003A04D5"/>
    <w:rsid w:val="003A1482"/>
    <w:rsid w:val="003A2328"/>
    <w:rsid w:val="003A4F2E"/>
    <w:rsid w:val="003B0441"/>
    <w:rsid w:val="003B10D3"/>
    <w:rsid w:val="003B2AA4"/>
    <w:rsid w:val="003B3BFB"/>
    <w:rsid w:val="003B58C9"/>
    <w:rsid w:val="003C0834"/>
    <w:rsid w:val="003C166D"/>
    <w:rsid w:val="003C2A0A"/>
    <w:rsid w:val="003C2DDF"/>
    <w:rsid w:val="003C3D26"/>
    <w:rsid w:val="003C5537"/>
    <w:rsid w:val="003C7A18"/>
    <w:rsid w:val="003D32C8"/>
    <w:rsid w:val="003D7EDB"/>
    <w:rsid w:val="003E2A95"/>
    <w:rsid w:val="003E2E06"/>
    <w:rsid w:val="003E486D"/>
    <w:rsid w:val="003E5BD1"/>
    <w:rsid w:val="003E61C1"/>
    <w:rsid w:val="003F0E9C"/>
    <w:rsid w:val="003F20C4"/>
    <w:rsid w:val="004002F7"/>
    <w:rsid w:val="004014A4"/>
    <w:rsid w:val="00403582"/>
    <w:rsid w:val="00403A3C"/>
    <w:rsid w:val="00411C1D"/>
    <w:rsid w:val="004147DF"/>
    <w:rsid w:val="00414E2C"/>
    <w:rsid w:val="00414EE9"/>
    <w:rsid w:val="0041676C"/>
    <w:rsid w:val="0041739C"/>
    <w:rsid w:val="0042025C"/>
    <w:rsid w:val="00425161"/>
    <w:rsid w:val="00425951"/>
    <w:rsid w:val="00427A19"/>
    <w:rsid w:val="00430983"/>
    <w:rsid w:val="0043535F"/>
    <w:rsid w:val="00436217"/>
    <w:rsid w:val="00441581"/>
    <w:rsid w:val="00444177"/>
    <w:rsid w:val="0044526A"/>
    <w:rsid w:val="00445D09"/>
    <w:rsid w:val="00446D10"/>
    <w:rsid w:val="00451036"/>
    <w:rsid w:val="00452755"/>
    <w:rsid w:val="004534D3"/>
    <w:rsid w:val="0046052D"/>
    <w:rsid w:val="00464DAC"/>
    <w:rsid w:val="00466CFA"/>
    <w:rsid w:val="00467CAA"/>
    <w:rsid w:val="0047038B"/>
    <w:rsid w:val="00471ED7"/>
    <w:rsid w:val="004723ED"/>
    <w:rsid w:val="00474B1E"/>
    <w:rsid w:val="00474B9D"/>
    <w:rsid w:val="00476DFF"/>
    <w:rsid w:val="0048192B"/>
    <w:rsid w:val="00481B11"/>
    <w:rsid w:val="004847A8"/>
    <w:rsid w:val="00485A83"/>
    <w:rsid w:val="00485F58"/>
    <w:rsid w:val="00487DEE"/>
    <w:rsid w:val="00491C92"/>
    <w:rsid w:val="00492719"/>
    <w:rsid w:val="00493AC4"/>
    <w:rsid w:val="004A3297"/>
    <w:rsid w:val="004A365B"/>
    <w:rsid w:val="004A6B41"/>
    <w:rsid w:val="004A710D"/>
    <w:rsid w:val="004B118A"/>
    <w:rsid w:val="004B50F6"/>
    <w:rsid w:val="004B5154"/>
    <w:rsid w:val="004B5266"/>
    <w:rsid w:val="004B5CD9"/>
    <w:rsid w:val="004C30EB"/>
    <w:rsid w:val="004C460B"/>
    <w:rsid w:val="004C4A83"/>
    <w:rsid w:val="004C4F0E"/>
    <w:rsid w:val="004D083B"/>
    <w:rsid w:val="004D526D"/>
    <w:rsid w:val="004D7D15"/>
    <w:rsid w:val="004E0787"/>
    <w:rsid w:val="004E0B37"/>
    <w:rsid w:val="004E1CD0"/>
    <w:rsid w:val="004E522B"/>
    <w:rsid w:val="004E66AB"/>
    <w:rsid w:val="004E7C1C"/>
    <w:rsid w:val="004E7E68"/>
    <w:rsid w:val="004F0B93"/>
    <w:rsid w:val="004F23E5"/>
    <w:rsid w:val="004F403A"/>
    <w:rsid w:val="004F7DB9"/>
    <w:rsid w:val="005011D4"/>
    <w:rsid w:val="005015E2"/>
    <w:rsid w:val="00510999"/>
    <w:rsid w:val="00516211"/>
    <w:rsid w:val="00521F05"/>
    <w:rsid w:val="005247BE"/>
    <w:rsid w:val="00527262"/>
    <w:rsid w:val="0053273B"/>
    <w:rsid w:val="00533647"/>
    <w:rsid w:val="00541A81"/>
    <w:rsid w:val="00541F3C"/>
    <w:rsid w:val="00545028"/>
    <w:rsid w:val="0054541C"/>
    <w:rsid w:val="005465A1"/>
    <w:rsid w:val="0055102F"/>
    <w:rsid w:val="005540E6"/>
    <w:rsid w:val="005621BA"/>
    <w:rsid w:val="005630D0"/>
    <w:rsid w:val="00565E05"/>
    <w:rsid w:val="00566C09"/>
    <w:rsid w:val="005679BD"/>
    <w:rsid w:val="00567DAB"/>
    <w:rsid w:val="00570CE1"/>
    <w:rsid w:val="0057220F"/>
    <w:rsid w:val="00572F11"/>
    <w:rsid w:val="00574173"/>
    <w:rsid w:val="00574D77"/>
    <w:rsid w:val="005778B6"/>
    <w:rsid w:val="00577CD4"/>
    <w:rsid w:val="00580DC3"/>
    <w:rsid w:val="00581052"/>
    <w:rsid w:val="005814B9"/>
    <w:rsid w:val="00582616"/>
    <w:rsid w:val="0058572D"/>
    <w:rsid w:val="00587F27"/>
    <w:rsid w:val="00591B8E"/>
    <w:rsid w:val="005926A1"/>
    <w:rsid w:val="00594CDB"/>
    <w:rsid w:val="005976B7"/>
    <w:rsid w:val="005A13D0"/>
    <w:rsid w:val="005A536B"/>
    <w:rsid w:val="005A673C"/>
    <w:rsid w:val="005B01AC"/>
    <w:rsid w:val="005B0A47"/>
    <w:rsid w:val="005B0B60"/>
    <w:rsid w:val="005B4389"/>
    <w:rsid w:val="005B5C87"/>
    <w:rsid w:val="005C22DF"/>
    <w:rsid w:val="005C4AC1"/>
    <w:rsid w:val="005C6D3A"/>
    <w:rsid w:val="005D0913"/>
    <w:rsid w:val="005D1717"/>
    <w:rsid w:val="005D1B1E"/>
    <w:rsid w:val="005D2897"/>
    <w:rsid w:val="005D4B0B"/>
    <w:rsid w:val="005D7177"/>
    <w:rsid w:val="005E0C05"/>
    <w:rsid w:val="005E1023"/>
    <w:rsid w:val="005E149E"/>
    <w:rsid w:val="005E471F"/>
    <w:rsid w:val="005F00D6"/>
    <w:rsid w:val="005F2BF5"/>
    <w:rsid w:val="005F7282"/>
    <w:rsid w:val="005F7FD6"/>
    <w:rsid w:val="00604A89"/>
    <w:rsid w:val="00605635"/>
    <w:rsid w:val="00605D73"/>
    <w:rsid w:val="00610C65"/>
    <w:rsid w:val="00611B25"/>
    <w:rsid w:val="006124B0"/>
    <w:rsid w:val="00612BEF"/>
    <w:rsid w:val="00614EFE"/>
    <w:rsid w:val="00615361"/>
    <w:rsid w:val="00615C8C"/>
    <w:rsid w:val="006219F1"/>
    <w:rsid w:val="00624E83"/>
    <w:rsid w:val="00625B86"/>
    <w:rsid w:val="0062601A"/>
    <w:rsid w:val="00631265"/>
    <w:rsid w:val="00632C4F"/>
    <w:rsid w:val="006349AB"/>
    <w:rsid w:val="0063521D"/>
    <w:rsid w:val="00637436"/>
    <w:rsid w:val="006404EA"/>
    <w:rsid w:val="0064241D"/>
    <w:rsid w:val="00644211"/>
    <w:rsid w:val="00650318"/>
    <w:rsid w:val="006509C2"/>
    <w:rsid w:val="00651AB2"/>
    <w:rsid w:val="00652139"/>
    <w:rsid w:val="006571C6"/>
    <w:rsid w:val="006628E5"/>
    <w:rsid w:val="00665543"/>
    <w:rsid w:val="00666799"/>
    <w:rsid w:val="006714FE"/>
    <w:rsid w:val="006758C1"/>
    <w:rsid w:val="00675D99"/>
    <w:rsid w:val="00676528"/>
    <w:rsid w:val="00680665"/>
    <w:rsid w:val="00680C3F"/>
    <w:rsid w:val="0068242D"/>
    <w:rsid w:val="00684121"/>
    <w:rsid w:val="0068488D"/>
    <w:rsid w:val="006853C9"/>
    <w:rsid w:val="006862BA"/>
    <w:rsid w:val="006868DF"/>
    <w:rsid w:val="00695DA6"/>
    <w:rsid w:val="00696D10"/>
    <w:rsid w:val="006A4603"/>
    <w:rsid w:val="006A768E"/>
    <w:rsid w:val="006B7312"/>
    <w:rsid w:val="006B76C2"/>
    <w:rsid w:val="006C1E4B"/>
    <w:rsid w:val="006C3111"/>
    <w:rsid w:val="006C3F8D"/>
    <w:rsid w:val="006C4C9F"/>
    <w:rsid w:val="006C6D87"/>
    <w:rsid w:val="006C79E4"/>
    <w:rsid w:val="006D1140"/>
    <w:rsid w:val="006D1F75"/>
    <w:rsid w:val="006D3072"/>
    <w:rsid w:val="006D4069"/>
    <w:rsid w:val="006D4518"/>
    <w:rsid w:val="006D48E0"/>
    <w:rsid w:val="006D549B"/>
    <w:rsid w:val="006D68A5"/>
    <w:rsid w:val="006D7279"/>
    <w:rsid w:val="006D746E"/>
    <w:rsid w:val="006D7FB9"/>
    <w:rsid w:val="006E07DE"/>
    <w:rsid w:val="006E1297"/>
    <w:rsid w:val="006E24BE"/>
    <w:rsid w:val="006E6264"/>
    <w:rsid w:val="006F22AD"/>
    <w:rsid w:val="006F2BFA"/>
    <w:rsid w:val="006F3FED"/>
    <w:rsid w:val="006F6859"/>
    <w:rsid w:val="006F7DBE"/>
    <w:rsid w:val="00701267"/>
    <w:rsid w:val="00704650"/>
    <w:rsid w:val="00705262"/>
    <w:rsid w:val="0070741E"/>
    <w:rsid w:val="0071273A"/>
    <w:rsid w:val="00712BDF"/>
    <w:rsid w:val="00713758"/>
    <w:rsid w:val="007144EA"/>
    <w:rsid w:val="00714EBE"/>
    <w:rsid w:val="0071523E"/>
    <w:rsid w:val="007159EC"/>
    <w:rsid w:val="00720864"/>
    <w:rsid w:val="00721C5F"/>
    <w:rsid w:val="00721DD0"/>
    <w:rsid w:val="0072225C"/>
    <w:rsid w:val="00723E50"/>
    <w:rsid w:val="00724AF8"/>
    <w:rsid w:val="00726716"/>
    <w:rsid w:val="00726B3D"/>
    <w:rsid w:val="007320D7"/>
    <w:rsid w:val="00733DD3"/>
    <w:rsid w:val="00742523"/>
    <w:rsid w:val="007435B7"/>
    <w:rsid w:val="0074596F"/>
    <w:rsid w:val="00745CF7"/>
    <w:rsid w:val="007468B2"/>
    <w:rsid w:val="00747A23"/>
    <w:rsid w:val="0075056A"/>
    <w:rsid w:val="00756FE4"/>
    <w:rsid w:val="00760FF4"/>
    <w:rsid w:val="00761B1E"/>
    <w:rsid w:val="00764124"/>
    <w:rsid w:val="00764E8F"/>
    <w:rsid w:val="00765E34"/>
    <w:rsid w:val="007727C1"/>
    <w:rsid w:val="00774621"/>
    <w:rsid w:val="00776802"/>
    <w:rsid w:val="00777359"/>
    <w:rsid w:val="00780EDC"/>
    <w:rsid w:val="007830DA"/>
    <w:rsid w:val="00783BBD"/>
    <w:rsid w:val="00785E03"/>
    <w:rsid w:val="0079113C"/>
    <w:rsid w:val="00792ECE"/>
    <w:rsid w:val="00794D79"/>
    <w:rsid w:val="00796F97"/>
    <w:rsid w:val="007A13EA"/>
    <w:rsid w:val="007A20B8"/>
    <w:rsid w:val="007A4306"/>
    <w:rsid w:val="007B013C"/>
    <w:rsid w:val="007B02DE"/>
    <w:rsid w:val="007B270D"/>
    <w:rsid w:val="007B3451"/>
    <w:rsid w:val="007B55AD"/>
    <w:rsid w:val="007C5856"/>
    <w:rsid w:val="007D1689"/>
    <w:rsid w:val="007D183D"/>
    <w:rsid w:val="007D2D02"/>
    <w:rsid w:val="007D3DCA"/>
    <w:rsid w:val="007D56E6"/>
    <w:rsid w:val="007D75BF"/>
    <w:rsid w:val="007E073C"/>
    <w:rsid w:val="007E0C4C"/>
    <w:rsid w:val="007E14E2"/>
    <w:rsid w:val="007E1594"/>
    <w:rsid w:val="007E29E2"/>
    <w:rsid w:val="007E37BF"/>
    <w:rsid w:val="007E4645"/>
    <w:rsid w:val="007E6CC1"/>
    <w:rsid w:val="007E7AAB"/>
    <w:rsid w:val="007F513A"/>
    <w:rsid w:val="0080110E"/>
    <w:rsid w:val="00801AF0"/>
    <w:rsid w:val="00802F38"/>
    <w:rsid w:val="00810776"/>
    <w:rsid w:val="00811A9D"/>
    <w:rsid w:val="008123B8"/>
    <w:rsid w:val="00812F00"/>
    <w:rsid w:val="00815438"/>
    <w:rsid w:val="008157DA"/>
    <w:rsid w:val="008162F8"/>
    <w:rsid w:val="00816C8C"/>
    <w:rsid w:val="00820928"/>
    <w:rsid w:val="00821383"/>
    <w:rsid w:val="008224F5"/>
    <w:rsid w:val="00822699"/>
    <w:rsid w:val="008231E8"/>
    <w:rsid w:val="0082320B"/>
    <w:rsid w:val="00823853"/>
    <w:rsid w:val="00826728"/>
    <w:rsid w:val="00830EB6"/>
    <w:rsid w:val="00833EBC"/>
    <w:rsid w:val="008365F1"/>
    <w:rsid w:val="00837A8B"/>
    <w:rsid w:val="00837F75"/>
    <w:rsid w:val="00842B5D"/>
    <w:rsid w:val="00845A84"/>
    <w:rsid w:val="008461B1"/>
    <w:rsid w:val="00851F86"/>
    <w:rsid w:val="00852A16"/>
    <w:rsid w:val="00852BB8"/>
    <w:rsid w:val="00856B7D"/>
    <w:rsid w:val="00861E2D"/>
    <w:rsid w:val="00862571"/>
    <w:rsid w:val="008653FF"/>
    <w:rsid w:val="008662CF"/>
    <w:rsid w:val="00866995"/>
    <w:rsid w:val="008704BC"/>
    <w:rsid w:val="008739A5"/>
    <w:rsid w:val="008779BB"/>
    <w:rsid w:val="00881A0B"/>
    <w:rsid w:val="00881E39"/>
    <w:rsid w:val="00883BFC"/>
    <w:rsid w:val="008847E8"/>
    <w:rsid w:val="00884FDD"/>
    <w:rsid w:val="0088550D"/>
    <w:rsid w:val="0089102C"/>
    <w:rsid w:val="0089388E"/>
    <w:rsid w:val="008964AB"/>
    <w:rsid w:val="008A4023"/>
    <w:rsid w:val="008A4AB7"/>
    <w:rsid w:val="008A52C2"/>
    <w:rsid w:val="008A550E"/>
    <w:rsid w:val="008B0770"/>
    <w:rsid w:val="008B0B39"/>
    <w:rsid w:val="008B1460"/>
    <w:rsid w:val="008B5C05"/>
    <w:rsid w:val="008B608F"/>
    <w:rsid w:val="008B6652"/>
    <w:rsid w:val="008C2580"/>
    <w:rsid w:val="008C5118"/>
    <w:rsid w:val="008C5A91"/>
    <w:rsid w:val="008C750D"/>
    <w:rsid w:val="008C76FA"/>
    <w:rsid w:val="008D177D"/>
    <w:rsid w:val="008D1CAD"/>
    <w:rsid w:val="008D2CE6"/>
    <w:rsid w:val="008D484B"/>
    <w:rsid w:val="008D4898"/>
    <w:rsid w:val="008D5293"/>
    <w:rsid w:val="008D64F3"/>
    <w:rsid w:val="008E07A1"/>
    <w:rsid w:val="008E1504"/>
    <w:rsid w:val="008E612A"/>
    <w:rsid w:val="008F0406"/>
    <w:rsid w:val="008F3977"/>
    <w:rsid w:val="008F5CBE"/>
    <w:rsid w:val="008F608B"/>
    <w:rsid w:val="0090109C"/>
    <w:rsid w:val="00902DEE"/>
    <w:rsid w:val="0090370B"/>
    <w:rsid w:val="00905FA7"/>
    <w:rsid w:val="00907131"/>
    <w:rsid w:val="009101F1"/>
    <w:rsid w:val="009104AC"/>
    <w:rsid w:val="00911291"/>
    <w:rsid w:val="00912683"/>
    <w:rsid w:val="0091658C"/>
    <w:rsid w:val="00916F5D"/>
    <w:rsid w:val="00917493"/>
    <w:rsid w:val="00923BF4"/>
    <w:rsid w:val="009254D6"/>
    <w:rsid w:val="009271CA"/>
    <w:rsid w:val="009367A0"/>
    <w:rsid w:val="00936B2B"/>
    <w:rsid w:val="009471A5"/>
    <w:rsid w:val="0095127F"/>
    <w:rsid w:val="00952B2F"/>
    <w:rsid w:val="00952F08"/>
    <w:rsid w:val="00954435"/>
    <w:rsid w:val="00954E78"/>
    <w:rsid w:val="0095508C"/>
    <w:rsid w:val="009552B3"/>
    <w:rsid w:val="00955F15"/>
    <w:rsid w:val="009573BE"/>
    <w:rsid w:val="0096118A"/>
    <w:rsid w:val="00961202"/>
    <w:rsid w:val="0096404F"/>
    <w:rsid w:val="00964923"/>
    <w:rsid w:val="0096574E"/>
    <w:rsid w:val="00966FAE"/>
    <w:rsid w:val="009701F8"/>
    <w:rsid w:val="00970DEE"/>
    <w:rsid w:val="00970EAC"/>
    <w:rsid w:val="0097721F"/>
    <w:rsid w:val="009778E9"/>
    <w:rsid w:val="00977E14"/>
    <w:rsid w:val="00980982"/>
    <w:rsid w:val="0098267E"/>
    <w:rsid w:val="009833B9"/>
    <w:rsid w:val="0098378C"/>
    <w:rsid w:val="00983ED0"/>
    <w:rsid w:val="00984EE6"/>
    <w:rsid w:val="00985FFD"/>
    <w:rsid w:val="00991104"/>
    <w:rsid w:val="0099129C"/>
    <w:rsid w:val="00992953"/>
    <w:rsid w:val="0099418D"/>
    <w:rsid w:val="00995BD3"/>
    <w:rsid w:val="00996535"/>
    <w:rsid w:val="009971EE"/>
    <w:rsid w:val="00997BA9"/>
    <w:rsid w:val="009A1025"/>
    <w:rsid w:val="009A4450"/>
    <w:rsid w:val="009A678F"/>
    <w:rsid w:val="009B2A5E"/>
    <w:rsid w:val="009B2FA9"/>
    <w:rsid w:val="009B3B11"/>
    <w:rsid w:val="009B4757"/>
    <w:rsid w:val="009B4B50"/>
    <w:rsid w:val="009B5FB2"/>
    <w:rsid w:val="009B6828"/>
    <w:rsid w:val="009C0844"/>
    <w:rsid w:val="009C0EDE"/>
    <w:rsid w:val="009C123A"/>
    <w:rsid w:val="009C1C36"/>
    <w:rsid w:val="009C213B"/>
    <w:rsid w:val="009C2AA2"/>
    <w:rsid w:val="009D3A8D"/>
    <w:rsid w:val="009D3AC4"/>
    <w:rsid w:val="009D5CAD"/>
    <w:rsid w:val="009D76CB"/>
    <w:rsid w:val="009D782A"/>
    <w:rsid w:val="009D7903"/>
    <w:rsid w:val="009E2125"/>
    <w:rsid w:val="009E326C"/>
    <w:rsid w:val="009E5ABE"/>
    <w:rsid w:val="009E5B81"/>
    <w:rsid w:val="009E696D"/>
    <w:rsid w:val="009E74CF"/>
    <w:rsid w:val="009F596F"/>
    <w:rsid w:val="00A00A9F"/>
    <w:rsid w:val="00A00DF0"/>
    <w:rsid w:val="00A05CD4"/>
    <w:rsid w:val="00A0723C"/>
    <w:rsid w:val="00A07684"/>
    <w:rsid w:val="00A10699"/>
    <w:rsid w:val="00A108C6"/>
    <w:rsid w:val="00A1156B"/>
    <w:rsid w:val="00A120A8"/>
    <w:rsid w:val="00A17693"/>
    <w:rsid w:val="00A224B0"/>
    <w:rsid w:val="00A2294F"/>
    <w:rsid w:val="00A272EA"/>
    <w:rsid w:val="00A312FD"/>
    <w:rsid w:val="00A347E2"/>
    <w:rsid w:val="00A35076"/>
    <w:rsid w:val="00A3517D"/>
    <w:rsid w:val="00A37439"/>
    <w:rsid w:val="00A40529"/>
    <w:rsid w:val="00A420BA"/>
    <w:rsid w:val="00A43140"/>
    <w:rsid w:val="00A458B5"/>
    <w:rsid w:val="00A45BA2"/>
    <w:rsid w:val="00A45E09"/>
    <w:rsid w:val="00A5682C"/>
    <w:rsid w:val="00A5703C"/>
    <w:rsid w:val="00A65B84"/>
    <w:rsid w:val="00A669B2"/>
    <w:rsid w:val="00A669FA"/>
    <w:rsid w:val="00A7084A"/>
    <w:rsid w:val="00A73701"/>
    <w:rsid w:val="00A73C8F"/>
    <w:rsid w:val="00A751CA"/>
    <w:rsid w:val="00A80698"/>
    <w:rsid w:val="00A81EFD"/>
    <w:rsid w:val="00A82DD8"/>
    <w:rsid w:val="00A844CE"/>
    <w:rsid w:val="00A84DE3"/>
    <w:rsid w:val="00A85AD1"/>
    <w:rsid w:val="00A863A3"/>
    <w:rsid w:val="00A87067"/>
    <w:rsid w:val="00A93665"/>
    <w:rsid w:val="00A94C6D"/>
    <w:rsid w:val="00A9571B"/>
    <w:rsid w:val="00A957A8"/>
    <w:rsid w:val="00A963C1"/>
    <w:rsid w:val="00A967FC"/>
    <w:rsid w:val="00AA09FF"/>
    <w:rsid w:val="00AA244F"/>
    <w:rsid w:val="00AA2B6C"/>
    <w:rsid w:val="00AA3F46"/>
    <w:rsid w:val="00AA47BB"/>
    <w:rsid w:val="00AA48A4"/>
    <w:rsid w:val="00AB1475"/>
    <w:rsid w:val="00AC183C"/>
    <w:rsid w:val="00AC19B9"/>
    <w:rsid w:val="00AC2F03"/>
    <w:rsid w:val="00AC5371"/>
    <w:rsid w:val="00AD117F"/>
    <w:rsid w:val="00AD4545"/>
    <w:rsid w:val="00AD4A3A"/>
    <w:rsid w:val="00AD4DE4"/>
    <w:rsid w:val="00AD5D93"/>
    <w:rsid w:val="00AD7C52"/>
    <w:rsid w:val="00AE05B6"/>
    <w:rsid w:val="00AE288F"/>
    <w:rsid w:val="00AE2D44"/>
    <w:rsid w:val="00AE3320"/>
    <w:rsid w:val="00AE6A18"/>
    <w:rsid w:val="00AE7040"/>
    <w:rsid w:val="00AE786F"/>
    <w:rsid w:val="00AE7C5A"/>
    <w:rsid w:val="00AE7D4D"/>
    <w:rsid w:val="00AF1314"/>
    <w:rsid w:val="00AF28FC"/>
    <w:rsid w:val="00AF5AA7"/>
    <w:rsid w:val="00AF5DA4"/>
    <w:rsid w:val="00AF7952"/>
    <w:rsid w:val="00B001C1"/>
    <w:rsid w:val="00B02C93"/>
    <w:rsid w:val="00B0472E"/>
    <w:rsid w:val="00B0675A"/>
    <w:rsid w:val="00B10E7C"/>
    <w:rsid w:val="00B11C51"/>
    <w:rsid w:val="00B13AC1"/>
    <w:rsid w:val="00B16053"/>
    <w:rsid w:val="00B167A5"/>
    <w:rsid w:val="00B20749"/>
    <w:rsid w:val="00B23108"/>
    <w:rsid w:val="00B2598A"/>
    <w:rsid w:val="00B26CB1"/>
    <w:rsid w:val="00B32B6E"/>
    <w:rsid w:val="00B34617"/>
    <w:rsid w:val="00B41CB0"/>
    <w:rsid w:val="00B42EF7"/>
    <w:rsid w:val="00B434FA"/>
    <w:rsid w:val="00B43FAC"/>
    <w:rsid w:val="00B44768"/>
    <w:rsid w:val="00B45C43"/>
    <w:rsid w:val="00B46006"/>
    <w:rsid w:val="00B46264"/>
    <w:rsid w:val="00B52A89"/>
    <w:rsid w:val="00B52CE9"/>
    <w:rsid w:val="00B5348A"/>
    <w:rsid w:val="00B53665"/>
    <w:rsid w:val="00B53FB7"/>
    <w:rsid w:val="00B60BD2"/>
    <w:rsid w:val="00B6585B"/>
    <w:rsid w:val="00B730FE"/>
    <w:rsid w:val="00B75A98"/>
    <w:rsid w:val="00B83A4F"/>
    <w:rsid w:val="00B83B1C"/>
    <w:rsid w:val="00B84A26"/>
    <w:rsid w:val="00B86950"/>
    <w:rsid w:val="00B87F53"/>
    <w:rsid w:val="00B91889"/>
    <w:rsid w:val="00B91D7F"/>
    <w:rsid w:val="00B95257"/>
    <w:rsid w:val="00B97D6F"/>
    <w:rsid w:val="00BA2B2C"/>
    <w:rsid w:val="00BA32B1"/>
    <w:rsid w:val="00BA44C1"/>
    <w:rsid w:val="00BA4EC0"/>
    <w:rsid w:val="00BA50F9"/>
    <w:rsid w:val="00BA7CDF"/>
    <w:rsid w:val="00BB00F1"/>
    <w:rsid w:val="00BB0471"/>
    <w:rsid w:val="00BB0C04"/>
    <w:rsid w:val="00BB427D"/>
    <w:rsid w:val="00BB59FD"/>
    <w:rsid w:val="00BC0B11"/>
    <w:rsid w:val="00BC4DBA"/>
    <w:rsid w:val="00BC535D"/>
    <w:rsid w:val="00BC560E"/>
    <w:rsid w:val="00BC5BC7"/>
    <w:rsid w:val="00BC5C1D"/>
    <w:rsid w:val="00BC84BA"/>
    <w:rsid w:val="00BD3282"/>
    <w:rsid w:val="00BD3948"/>
    <w:rsid w:val="00BD62D2"/>
    <w:rsid w:val="00BE18E5"/>
    <w:rsid w:val="00BE4128"/>
    <w:rsid w:val="00BE5002"/>
    <w:rsid w:val="00BE6BC0"/>
    <w:rsid w:val="00BE6C6A"/>
    <w:rsid w:val="00BE7C36"/>
    <w:rsid w:val="00BF3636"/>
    <w:rsid w:val="00BF3E66"/>
    <w:rsid w:val="00BF5582"/>
    <w:rsid w:val="00BF5C9F"/>
    <w:rsid w:val="00BF6A7B"/>
    <w:rsid w:val="00C00C2D"/>
    <w:rsid w:val="00C033AE"/>
    <w:rsid w:val="00C03428"/>
    <w:rsid w:val="00C04143"/>
    <w:rsid w:val="00C04DF7"/>
    <w:rsid w:val="00C0570D"/>
    <w:rsid w:val="00C0710E"/>
    <w:rsid w:val="00C07874"/>
    <w:rsid w:val="00C10999"/>
    <w:rsid w:val="00C11435"/>
    <w:rsid w:val="00C12E64"/>
    <w:rsid w:val="00C16C74"/>
    <w:rsid w:val="00C16DB1"/>
    <w:rsid w:val="00C17560"/>
    <w:rsid w:val="00C17B5A"/>
    <w:rsid w:val="00C20B35"/>
    <w:rsid w:val="00C21767"/>
    <w:rsid w:val="00C24363"/>
    <w:rsid w:val="00C314B9"/>
    <w:rsid w:val="00C31FCA"/>
    <w:rsid w:val="00C35C07"/>
    <w:rsid w:val="00C41EA2"/>
    <w:rsid w:val="00C41ED4"/>
    <w:rsid w:val="00C41FAD"/>
    <w:rsid w:val="00C46A6C"/>
    <w:rsid w:val="00C46FF1"/>
    <w:rsid w:val="00C47875"/>
    <w:rsid w:val="00C50B63"/>
    <w:rsid w:val="00C50DD8"/>
    <w:rsid w:val="00C5497E"/>
    <w:rsid w:val="00C612A5"/>
    <w:rsid w:val="00C61EE8"/>
    <w:rsid w:val="00C62698"/>
    <w:rsid w:val="00C63A46"/>
    <w:rsid w:val="00C64EA0"/>
    <w:rsid w:val="00C656EF"/>
    <w:rsid w:val="00C6653D"/>
    <w:rsid w:val="00C70432"/>
    <w:rsid w:val="00C709CF"/>
    <w:rsid w:val="00C7167F"/>
    <w:rsid w:val="00C71D21"/>
    <w:rsid w:val="00C724AE"/>
    <w:rsid w:val="00C72880"/>
    <w:rsid w:val="00C74F34"/>
    <w:rsid w:val="00C75088"/>
    <w:rsid w:val="00C81CD2"/>
    <w:rsid w:val="00C82760"/>
    <w:rsid w:val="00C862A9"/>
    <w:rsid w:val="00C86AE6"/>
    <w:rsid w:val="00C93EAB"/>
    <w:rsid w:val="00C9445E"/>
    <w:rsid w:val="00C948F0"/>
    <w:rsid w:val="00C96403"/>
    <w:rsid w:val="00CA2A31"/>
    <w:rsid w:val="00CA40DE"/>
    <w:rsid w:val="00CA5EE9"/>
    <w:rsid w:val="00CA6294"/>
    <w:rsid w:val="00CB077B"/>
    <w:rsid w:val="00CB3FF3"/>
    <w:rsid w:val="00CB6A5F"/>
    <w:rsid w:val="00CC2CF5"/>
    <w:rsid w:val="00CC3ACB"/>
    <w:rsid w:val="00CC5CF5"/>
    <w:rsid w:val="00CC733D"/>
    <w:rsid w:val="00CD11E7"/>
    <w:rsid w:val="00CD19AE"/>
    <w:rsid w:val="00CD5A46"/>
    <w:rsid w:val="00CD5E19"/>
    <w:rsid w:val="00CD7240"/>
    <w:rsid w:val="00CD7F91"/>
    <w:rsid w:val="00CE107A"/>
    <w:rsid w:val="00CE18B7"/>
    <w:rsid w:val="00CE1F42"/>
    <w:rsid w:val="00CE2BFE"/>
    <w:rsid w:val="00CE316E"/>
    <w:rsid w:val="00CE4721"/>
    <w:rsid w:val="00CE4826"/>
    <w:rsid w:val="00CE607A"/>
    <w:rsid w:val="00CE62BD"/>
    <w:rsid w:val="00CE6CD6"/>
    <w:rsid w:val="00CF1642"/>
    <w:rsid w:val="00CF1DC5"/>
    <w:rsid w:val="00CF2AE3"/>
    <w:rsid w:val="00CF2CC2"/>
    <w:rsid w:val="00CF7478"/>
    <w:rsid w:val="00D01205"/>
    <w:rsid w:val="00D04140"/>
    <w:rsid w:val="00D049C9"/>
    <w:rsid w:val="00D07115"/>
    <w:rsid w:val="00D07187"/>
    <w:rsid w:val="00D07508"/>
    <w:rsid w:val="00D15A93"/>
    <w:rsid w:val="00D15C87"/>
    <w:rsid w:val="00D160DB"/>
    <w:rsid w:val="00D16D64"/>
    <w:rsid w:val="00D17B69"/>
    <w:rsid w:val="00D204E8"/>
    <w:rsid w:val="00D226FF"/>
    <w:rsid w:val="00D23E59"/>
    <w:rsid w:val="00D26683"/>
    <w:rsid w:val="00D30C39"/>
    <w:rsid w:val="00D3188A"/>
    <w:rsid w:val="00D31E10"/>
    <w:rsid w:val="00D33EFA"/>
    <w:rsid w:val="00D345B7"/>
    <w:rsid w:val="00D34A22"/>
    <w:rsid w:val="00D414D0"/>
    <w:rsid w:val="00D41C2C"/>
    <w:rsid w:val="00D42749"/>
    <w:rsid w:val="00D444D1"/>
    <w:rsid w:val="00D56682"/>
    <w:rsid w:val="00D56761"/>
    <w:rsid w:val="00D60000"/>
    <w:rsid w:val="00D627AF"/>
    <w:rsid w:val="00D62B07"/>
    <w:rsid w:val="00D67344"/>
    <w:rsid w:val="00D70C0D"/>
    <w:rsid w:val="00D7292B"/>
    <w:rsid w:val="00D74952"/>
    <w:rsid w:val="00D75D9A"/>
    <w:rsid w:val="00D77516"/>
    <w:rsid w:val="00D77E73"/>
    <w:rsid w:val="00D8296B"/>
    <w:rsid w:val="00D847C6"/>
    <w:rsid w:val="00D905C8"/>
    <w:rsid w:val="00D92D69"/>
    <w:rsid w:val="00D97F9D"/>
    <w:rsid w:val="00DA06E9"/>
    <w:rsid w:val="00DA10C0"/>
    <w:rsid w:val="00DA157A"/>
    <w:rsid w:val="00DA3022"/>
    <w:rsid w:val="00DB041B"/>
    <w:rsid w:val="00DB06BE"/>
    <w:rsid w:val="00DB1A62"/>
    <w:rsid w:val="00DB43A2"/>
    <w:rsid w:val="00DB6989"/>
    <w:rsid w:val="00DB78D2"/>
    <w:rsid w:val="00DB7F78"/>
    <w:rsid w:val="00DC0B08"/>
    <w:rsid w:val="00DC1B6B"/>
    <w:rsid w:val="00DC4374"/>
    <w:rsid w:val="00DC4E4D"/>
    <w:rsid w:val="00DC6344"/>
    <w:rsid w:val="00DC664A"/>
    <w:rsid w:val="00DD5506"/>
    <w:rsid w:val="00DD58D3"/>
    <w:rsid w:val="00DD6EC3"/>
    <w:rsid w:val="00DD75AB"/>
    <w:rsid w:val="00DE54B1"/>
    <w:rsid w:val="00DE66EE"/>
    <w:rsid w:val="00DF0146"/>
    <w:rsid w:val="00DF222E"/>
    <w:rsid w:val="00DF481B"/>
    <w:rsid w:val="00E028BF"/>
    <w:rsid w:val="00E02E82"/>
    <w:rsid w:val="00E06132"/>
    <w:rsid w:val="00E071BA"/>
    <w:rsid w:val="00E108AB"/>
    <w:rsid w:val="00E124E5"/>
    <w:rsid w:val="00E125CB"/>
    <w:rsid w:val="00E1635A"/>
    <w:rsid w:val="00E17FC8"/>
    <w:rsid w:val="00E20EC7"/>
    <w:rsid w:val="00E251B4"/>
    <w:rsid w:val="00E25E71"/>
    <w:rsid w:val="00E27746"/>
    <w:rsid w:val="00E30C51"/>
    <w:rsid w:val="00E30F75"/>
    <w:rsid w:val="00E31148"/>
    <w:rsid w:val="00E33EEB"/>
    <w:rsid w:val="00E35A91"/>
    <w:rsid w:val="00E406F1"/>
    <w:rsid w:val="00E420D5"/>
    <w:rsid w:val="00E44267"/>
    <w:rsid w:val="00E45E0B"/>
    <w:rsid w:val="00E52A96"/>
    <w:rsid w:val="00E55379"/>
    <w:rsid w:val="00E564E2"/>
    <w:rsid w:val="00E57CBA"/>
    <w:rsid w:val="00E608D9"/>
    <w:rsid w:val="00E62363"/>
    <w:rsid w:val="00E62718"/>
    <w:rsid w:val="00E64E5D"/>
    <w:rsid w:val="00E66136"/>
    <w:rsid w:val="00E708D5"/>
    <w:rsid w:val="00E70A6F"/>
    <w:rsid w:val="00E70E30"/>
    <w:rsid w:val="00E7132A"/>
    <w:rsid w:val="00E7329C"/>
    <w:rsid w:val="00E74EE6"/>
    <w:rsid w:val="00E7797F"/>
    <w:rsid w:val="00E801B1"/>
    <w:rsid w:val="00E805C7"/>
    <w:rsid w:val="00E855E1"/>
    <w:rsid w:val="00E86722"/>
    <w:rsid w:val="00E90C19"/>
    <w:rsid w:val="00E9402A"/>
    <w:rsid w:val="00E95DC2"/>
    <w:rsid w:val="00EA2980"/>
    <w:rsid w:val="00EA2CBE"/>
    <w:rsid w:val="00EB014F"/>
    <w:rsid w:val="00EB3BFB"/>
    <w:rsid w:val="00EB46BA"/>
    <w:rsid w:val="00EB5028"/>
    <w:rsid w:val="00EB615E"/>
    <w:rsid w:val="00EC06E9"/>
    <w:rsid w:val="00EC0A47"/>
    <w:rsid w:val="00EC408D"/>
    <w:rsid w:val="00EC755F"/>
    <w:rsid w:val="00EC7883"/>
    <w:rsid w:val="00ED0929"/>
    <w:rsid w:val="00ED0B16"/>
    <w:rsid w:val="00ED327D"/>
    <w:rsid w:val="00ED5F0A"/>
    <w:rsid w:val="00ED5FB8"/>
    <w:rsid w:val="00EE109A"/>
    <w:rsid w:val="00EE14B6"/>
    <w:rsid w:val="00EE1AFC"/>
    <w:rsid w:val="00EE407D"/>
    <w:rsid w:val="00EE4341"/>
    <w:rsid w:val="00EE447B"/>
    <w:rsid w:val="00EE47AB"/>
    <w:rsid w:val="00EE6C4B"/>
    <w:rsid w:val="00EE6D08"/>
    <w:rsid w:val="00EE7885"/>
    <w:rsid w:val="00EF0700"/>
    <w:rsid w:val="00EF13CF"/>
    <w:rsid w:val="00EF19A9"/>
    <w:rsid w:val="00EF24E7"/>
    <w:rsid w:val="00EF25B2"/>
    <w:rsid w:val="00EF37D0"/>
    <w:rsid w:val="00EF3C17"/>
    <w:rsid w:val="00EF672F"/>
    <w:rsid w:val="00EF7DC4"/>
    <w:rsid w:val="00F000F2"/>
    <w:rsid w:val="00F06902"/>
    <w:rsid w:val="00F07377"/>
    <w:rsid w:val="00F073E7"/>
    <w:rsid w:val="00F10BF4"/>
    <w:rsid w:val="00F10DEF"/>
    <w:rsid w:val="00F13114"/>
    <w:rsid w:val="00F14A5E"/>
    <w:rsid w:val="00F160B5"/>
    <w:rsid w:val="00F20253"/>
    <w:rsid w:val="00F20C8A"/>
    <w:rsid w:val="00F26960"/>
    <w:rsid w:val="00F272B2"/>
    <w:rsid w:val="00F27F3E"/>
    <w:rsid w:val="00F320D9"/>
    <w:rsid w:val="00F33250"/>
    <w:rsid w:val="00F337D9"/>
    <w:rsid w:val="00F34DDF"/>
    <w:rsid w:val="00F353CB"/>
    <w:rsid w:val="00F359C1"/>
    <w:rsid w:val="00F359C2"/>
    <w:rsid w:val="00F36F71"/>
    <w:rsid w:val="00F413BB"/>
    <w:rsid w:val="00F42492"/>
    <w:rsid w:val="00F437E3"/>
    <w:rsid w:val="00F45AE5"/>
    <w:rsid w:val="00F4738F"/>
    <w:rsid w:val="00F47587"/>
    <w:rsid w:val="00F477D7"/>
    <w:rsid w:val="00F50128"/>
    <w:rsid w:val="00F50271"/>
    <w:rsid w:val="00F502CE"/>
    <w:rsid w:val="00F50B34"/>
    <w:rsid w:val="00F519D1"/>
    <w:rsid w:val="00F51F26"/>
    <w:rsid w:val="00F524B6"/>
    <w:rsid w:val="00F55584"/>
    <w:rsid w:val="00F5670C"/>
    <w:rsid w:val="00F56FB5"/>
    <w:rsid w:val="00F710FB"/>
    <w:rsid w:val="00F7164C"/>
    <w:rsid w:val="00F72725"/>
    <w:rsid w:val="00F76F70"/>
    <w:rsid w:val="00F774AB"/>
    <w:rsid w:val="00F81EC1"/>
    <w:rsid w:val="00F86504"/>
    <w:rsid w:val="00F925C0"/>
    <w:rsid w:val="00F92FD8"/>
    <w:rsid w:val="00F93CD7"/>
    <w:rsid w:val="00F9487E"/>
    <w:rsid w:val="00F958E2"/>
    <w:rsid w:val="00F96EBC"/>
    <w:rsid w:val="00F97950"/>
    <w:rsid w:val="00FA36FE"/>
    <w:rsid w:val="00FA4D32"/>
    <w:rsid w:val="00FA63DD"/>
    <w:rsid w:val="00FA7554"/>
    <w:rsid w:val="00FB19BB"/>
    <w:rsid w:val="00FB1AAC"/>
    <w:rsid w:val="00FB2E74"/>
    <w:rsid w:val="00FB4591"/>
    <w:rsid w:val="00FB4C39"/>
    <w:rsid w:val="00FC2D12"/>
    <w:rsid w:val="00FC3073"/>
    <w:rsid w:val="00FC4541"/>
    <w:rsid w:val="00FD0AFD"/>
    <w:rsid w:val="00FD2BA5"/>
    <w:rsid w:val="00FE1024"/>
    <w:rsid w:val="00FE180B"/>
    <w:rsid w:val="00FE364F"/>
    <w:rsid w:val="00FE6E43"/>
    <w:rsid w:val="00FF28CE"/>
    <w:rsid w:val="00FF39E0"/>
    <w:rsid w:val="00FF49EB"/>
    <w:rsid w:val="00FF5DCC"/>
    <w:rsid w:val="00FF6862"/>
    <w:rsid w:val="0132AF63"/>
    <w:rsid w:val="01B0AC54"/>
    <w:rsid w:val="02022454"/>
    <w:rsid w:val="02734E78"/>
    <w:rsid w:val="040C4627"/>
    <w:rsid w:val="04147BAE"/>
    <w:rsid w:val="0505A358"/>
    <w:rsid w:val="051E8CB9"/>
    <w:rsid w:val="061D7B23"/>
    <w:rsid w:val="07F03846"/>
    <w:rsid w:val="0924AE39"/>
    <w:rsid w:val="097662A3"/>
    <w:rsid w:val="0B04DE11"/>
    <w:rsid w:val="0B140AA4"/>
    <w:rsid w:val="0BC2A7E8"/>
    <w:rsid w:val="0CBE1F0E"/>
    <w:rsid w:val="0CFB1DA5"/>
    <w:rsid w:val="0CFCCC06"/>
    <w:rsid w:val="0D47BFC1"/>
    <w:rsid w:val="0D57BD19"/>
    <w:rsid w:val="0D66BFC5"/>
    <w:rsid w:val="0D812788"/>
    <w:rsid w:val="0DB8B4E8"/>
    <w:rsid w:val="0E1C67DB"/>
    <w:rsid w:val="0F82545C"/>
    <w:rsid w:val="0FB9655B"/>
    <w:rsid w:val="1051E1B4"/>
    <w:rsid w:val="10BBA8F4"/>
    <w:rsid w:val="12449427"/>
    <w:rsid w:val="12687A00"/>
    <w:rsid w:val="12FF7E6D"/>
    <w:rsid w:val="13073922"/>
    <w:rsid w:val="144072A8"/>
    <w:rsid w:val="14AAA792"/>
    <w:rsid w:val="1521A67B"/>
    <w:rsid w:val="15D6F594"/>
    <w:rsid w:val="167D77DF"/>
    <w:rsid w:val="1688E5D3"/>
    <w:rsid w:val="172DAE37"/>
    <w:rsid w:val="173B0434"/>
    <w:rsid w:val="17C6AEB9"/>
    <w:rsid w:val="18A29EA6"/>
    <w:rsid w:val="18B8D1F1"/>
    <w:rsid w:val="19C5440C"/>
    <w:rsid w:val="1B1C8321"/>
    <w:rsid w:val="1C14864A"/>
    <w:rsid w:val="1D88DD5C"/>
    <w:rsid w:val="1D9FA585"/>
    <w:rsid w:val="1DAC3EF1"/>
    <w:rsid w:val="1E3E38EE"/>
    <w:rsid w:val="1E4D53B3"/>
    <w:rsid w:val="1E5896EA"/>
    <w:rsid w:val="1F60ED23"/>
    <w:rsid w:val="204AE20D"/>
    <w:rsid w:val="21A44B35"/>
    <w:rsid w:val="21C2ED06"/>
    <w:rsid w:val="21CBC3A9"/>
    <w:rsid w:val="220584FC"/>
    <w:rsid w:val="23314937"/>
    <w:rsid w:val="237CA2D9"/>
    <w:rsid w:val="241DDD5A"/>
    <w:rsid w:val="24903290"/>
    <w:rsid w:val="24D2732B"/>
    <w:rsid w:val="25703184"/>
    <w:rsid w:val="25EE6986"/>
    <w:rsid w:val="2633A2A7"/>
    <w:rsid w:val="266EDE46"/>
    <w:rsid w:val="271E1026"/>
    <w:rsid w:val="284FEF07"/>
    <w:rsid w:val="285C04E5"/>
    <w:rsid w:val="28792856"/>
    <w:rsid w:val="289CB04E"/>
    <w:rsid w:val="28B776DA"/>
    <w:rsid w:val="28D66B4B"/>
    <w:rsid w:val="294FE7A0"/>
    <w:rsid w:val="2A45BE37"/>
    <w:rsid w:val="2C8E3C60"/>
    <w:rsid w:val="2D3BCE97"/>
    <w:rsid w:val="2D3E2129"/>
    <w:rsid w:val="2DDA0AD5"/>
    <w:rsid w:val="2DE215E2"/>
    <w:rsid w:val="2E7AC32E"/>
    <w:rsid w:val="2E7F90C3"/>
    <w:rsid w:val="2F15AF5D"/>
    <w:rsid w:val="302D7B95"/>
    <w:rsid w:val="326B6612"/>
    <w:rsid w:val="343B4CC7"/>
    <w:rsid w:val="344EA40E"/>
    <w:rsid w:val="34CCE72F"/>
    <w:rsid w:val="35075EE0"/>
    <w:rsid w:val="355D8305"/>
    <w:rsid w:val="35BA9007"/>
    <w:rsid w:val="3607BACF"/>
    <w:rsid w:val="365FF7CD"/>
    <w:rsid w:val="36972E6E"/>
    <w:rsid w:val="36EB2D82"/>
    <w:rsid w:val="37BF76C7"/>
    <w:rsid w:val="37DECFDF"/>
    <w:rsid w:val="37F6B861"/>
    <w:rsid w:val="3832D696"/>
    <w:rsid w:val="38398434"/>
    <w:rsid w:val="397FD1BA"/>
    <w:rsid w:val="3A17C133"/>
    <w:rsid w:val="3A8D1A3B"/>
    <w:rsid w:val="3B2DF1D9"/>
    <w:rsid w:val="3B36EB78"/>
    <w:rsid w:val="3B7F0C2E"/>
    <w:rsid w:val="3BEFCA03"/>
    <w:rsid w:val="3BF00D3D"/>
    <w:rsid w:val="3BFA7629"/>
    <w:rsid w:val="3D1CCA35"/>
    <w:rsid w:val="3D45DD97"/>
    <w:rsid w:val="3DE7637C"/>
    <w:rsid w:val="3E4BF27F"/>
    <w:rsid w:val="3EE51257"/>
    <w:rsid w:val="3EFFD1C4"/>
    <w:rsid w:val="3FB326B7"/>
    <w:rsid w:val="3FFB63D9"/>
    <w:rsid w:val="410B4CB9"/>
    <w:rsid w:val="4119568D"/>
    <w:rsid w:val="4193E274"/>
    <w:rsid w:val="41BA378B"/>
    <w:rsid w:val="4240C343"/>
    <w:rsid w:val="42B11435"/>
    <w:rsid w:val="42ED0A21"/>
    <w:rsid w:val="42FBA841"/>
    <w:rsid w:val="438B9185"/>
    <w:rsid w:val="43904531"/>
    <w:rsid w:val="43A3E880"/>
    <w:rsid w:val="43C5E6DB"/>
    <w:rsid w:val="43D870D2"/>
    <w:rsid w:val="442286BC"/>
    <w:rsid w:val="449F6F45"/>
    <w:rsid w:val="44DFC627"/>
    <w:rsid w:val="460B894F"/>
    <w:rsid w:val="46FEA100"/>
    <w:rsid w:val="48A15985"/>
    <w:rsid w:val="48C6FE15"/>
    <w:rsid w:val="49407BF9"/>
    <w:rsid w:val="4BB61DA2"/>
    <w:rsid w:val="4BCD68C0"/>
    <w:rsid w:val="4C345498"/>
    <w:rsid w:val="4C6FA52D"/>
    <w:rsid w:val="4CA1FDA7"/>
    <w:rsid w:val="4CAADCB4"/>
    <w:rsid w:val="4E0C3267"/>
    <w:rsid w:val="4F59C1D3"/>
    <w:rsid w:val="4F84C693"/>
    <w:rsid w:val="5045D15E"/>
    <w:rsid w:val="50563A4C"/>
    <w:rsid w:val="513B59CC"/>
    <w:rsid w:val="5168B72B"/>
    <w:rsid w:val="51EF2D87"/>
    <w:rsid w:val="51F0D8C5"/>
    <w:rsid w:val="52DDC143"/>
    <w:rsid w:val="533A3CB5"/>
    <w:rsid w:val="53444E9B"/>
    <w:rsid w:val="55640354"/>
    <w:rsid w:val="558374C1"/>
    <w:rsid w:val="562BBDB3"/>
    <w:rsid w:val="563D5FEB"/>
    <w:rsid w:val="564555F4"/>
    <w:rsid w:val="5817CA56"/>
    <w:rsid w:val="59607554"/>
    <w:rsid w:val="596A1E91"/>
    <w:rsid w:val="5A2D00E1"/>
    <w:rsid w:val="5A43081A"/>
    <w:rsid w:val="5A667ED2"/>
    <w:rsid w:val="5AEDF9A7"/>
    <w:rsid w:val="5BB6B2C7"/>
    <w:rsid w:val="5C13C811"/>
    <w:rsid w:val="5C70DD26"/>
    <w:rsid w:val="5C787141"/>
    <w:rsid w:val="5C78D267"/>
    <w:rsid w:val="5D07A090"/>
    <w:rsid w:val="5D9B14FF"/>
    <w:rsid w:val="5E3B4125"/>
    <w:rsid w:val="5E95A0D0"/>
    <w:rsid w:val="5EE83AB7"/>
    <w:rsid w:val="61BFC339"/>
    <w:rsid w:val="62866E2C"/>
    <w:rsid w:val="63B21985"/>
    <w:rsid w:val="640C80D3"/>
    <w:rsid w:val="649EB072"/>
    <w:rsid w:val="64C5BDE5"/>
    <w:rsid w:val="6533D90F"/>
    <w:rsid w:val="655263C9"/>
    <w:rsid w:val="65A1513D"/>
    <w:rsid w:val="65DCC647"/>
    <w:rsid w:val="66348B53"/>
    <w:rsid w:val="66800E07"/>
    <w:rsid w:val="67306FAD"/>
    <w:rsid w:val="6905AB72"/>
    <w:rsid w:val="6930DD81"/>
    <w:rsid w:val="6A14A9BD"/>
    <w:rsid w:val="6B3C5006"/>
    <w:rsid w:val="6B876D18"/>
    <w:rsid w:val="6BDD6175"/>
    <w:rsid w:val="6BDE2A63"/>
    <w:rsid w:val="6C044E04"/>
    <w:rsid w:val="6C09CC99"/>
    <w:rsid w:val="6C3F8768"/>
    <w:rsid w:val="6C63DED9"/>
    <w:rsid w:val="6C924A4C"/>
    <w:rsid w:val="6CC15EEF"/>
    <w:rsid w:val="6D2F6DC5"/>
    <w:rsid w:val="6D43FBBC"/>
    <w:rsid w:val="6D98BEBA"/>
    <w:rsid w:val="6DFBDFD1"/>
    <w:rsid w:val="70D4CB0A"/>
    <w:rsid w:val="72214B26"/>
    <w:rsid w:val="7223156D"/>
    <w:rsid w:val="72647FC0"/>
    <w:rsid w:val="734042EC"/>
    <w:rsid w:val="7423C2E9"/>
    <w:rsid w:val="74729802"/>
    <w:rsid w:val="74AC1051"/>
    <w:rsid w:val="756403B4"/>
    <w:rsid w:val="773260FC"/>
    <w:rsid w:val="7925E9D8"/>
    <w:rsid w:val="79F6DF99"/>
    <w:rsid w:val="7A140EF3"/>
    <w:rsid w:val="7A76503B"/>
    <w:rsid w:val="7B62D9C6"/>
    <w:rsid w:val="7B9B58E0"/>
    <w:rsid w:val="7BCE7543"/>
    <w:rsid w:val="7D7F16E8"/>
    <w:rsid w:val="7D877603"/>
    <w:rsid w:val="7FA73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88BC"/>
  <w15:docId w15:val="{4F758D08-1AB4-4A5E-88B7-5BBA83B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9E"/>
  </w:style>
  <w:style w:type="paragraph" w:styleId="Heading1">
    <w:name w:val="heading 1"/>
    <w:basedOn w:val="Normal"/>
    <w:next w:val="Normal"/>
    <w:link w:val="Heading1Char"/>
    <w:uiPriority w:val="9"/>
    <w:qFormat/>
    <w:rsid w:val="00611B25"/>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149E"/>
    <w:rPr>
      <w:b/>
      <w:bCs/>
    </w:rPr>
  </w:style>
  <w:style w:type="paragraph" w:styleId="NormalWeb">
    <w:name w:val="Normal (Web)"/>
    <w:basedOn w:val="Normal"/>
    <w:uiPriority w:val="99"/>
    <w:unhideWhenUsed/>
    <w:rsid w:val="005E14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5E149E"/>
    <w:pPr>
      <w:ind w:left="720"/>
      <w:contextualSpacing/>
    </w:pPr>
  </w:style>
  <w:style w:type="table" w:styleId="TableGrid">
    <w:name w:val="Table Grid"/>
    <w:basedOn w:val="TableNormal"/>
    <w:uiPriority w:val="59"/>
    <w:rsid w:val="005E1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149E"/>
    <w:pPr>
      <w:spacing w:after="0" w:line="240" w:lineRule="auto"/>
    </w:pPr>
  </w:style>
  <w:style w:type="character" w:customStyle="1" w:styleId="FootnoteTextChar">
    <w:name w:val="Footnote Text Char"/>
    <w:basedOn w:val="DefaultParagraphFont"/>
    <w:link w:val="FootnoteText"/>
    <w:semiHidden/>
    <w:rsid w:val="005E149E"/>
    <w:rPr>
      <w:rFonts w:ascii="Arial" w:eastAsia="Times New Roman" w:hAnsi="Arial" w:cs="Arial"/>
      <w:sz w:val="20"/>
      <w:szCs w:val="20"/>
    </w:rPr>
  </w:style>
  <w:style w:type="paragraph" w:styleId="FootnoteText">
    <w:name w:val="footnote text"/>
    <w:basedOn w:val="Normal"/>
    <w:link w:val="FootnoteTextChar"/>
    <w:semiHidden/>
    <w:unhideWhenUsed/>
    <w:rsid w:val="005E149E"/>
    <w:pPr>
      <w:spacing w:after="0" w:line="240" w:lineRule="auto"/>
    </w:pPr>
    <w:rPr>
      <w:rFonts w:ascii="Arial" w:eastAsia="Times New Roman" w:hAnsi="Arial" w:cs="Arial"/>
      <w:sz w:val="20"/>
      <w:szCs w:val="20"/>
    </w:rPr>
  </w:style>
  <w:style w:type="character" w:customStyle="1" w:styleId="FootnoteTextChar1">
    <w:name w:val="Footnote Text Char1"/>
    <w:basedOn w:val="DefaultParagraphFont"/>
    <w:uiPriority w:val="99"/>
    <w:semiHidden/>
    <w:rsid w:val="005E149E"/>
    <w:rPr>
      <w:sz w:val="20"/>
      <w:szCs w:val="20"/>
    </w:rPr>
  </w:style>
  <w:style w:type="character" w:styleId="FootnoteReference">
    <w:name w:val="footnote reference"/>
    <w:basedOn w:val="DefaultParagraphFont"/>
    <w:uiPriority w:val="99"/>
    <w:semiHidden/>
    <w:unhideWhenUsed/>
    <w:rsid w:val="005E149E"/>
    <w:rPr>
      <w:vertAlign w:val="superscript"/>
    </w:rPr>
  </w:style>
  <w:style w:type="paragraph" w:styleId="BalloonText">
    <w:name w:val="Balloon Text"/>
    <w:basedOn w:val="Normal"/>
    <w:link w:val="BalloonTextChar"/>
    <w:uiPriority w:val="99"/>
    <w:semiHidden/>
    <w:unhideWhenUsed/>
    <w:rsid w:val="005E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9E"/>
    <w:rPr>
      <w:rFonts w:ascii="Tahoma" w:hAnsi="Tahoma" w:cs="Tahoma"/>
      <w:sz w:val="16"/>
      <w:szCs w:val="16"/>
    </w:rPr>
  </w:style>
  <w:style w:type="paragraph" w:styleId="Header">
    <w:name w:val="header"/>
    <w:basedOn w:val="Normal"/>
    <w:link w:val="HeaderChar"/>
    <w:uiPriority w:val="99"/>
    <w:unhideWhenUsed/>
    <w:rsid w:val="005E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49E"/>
  </w:style>
  <w:style w:type="character" w:styleId="CommentReference">
    <w:name w:val="annotation reference"/>
    <w:basedOn w:val="DefaultParagraphFont"/>
    <w:uiPriority w:val="99"/>
    <w:semiHidden/>
    <w:unhideWhenUsed/>
    <w:rsid w:val="005E149E"/>
    <w:rPr>
      <w:sz w:val="16"/>
      <w:szCs w:val="16"/>
    </w:rPr>
  </w:style>
  <w:style w:type="paragraph" w:styleId="CommentText">
    <w:name w:val="annotation text"/>
    <w:basedOn w:val="Normal"/>
    <w:link w:val="CommentTextChar"/>
    <w:uiPriority w:val="99"/>
    <w:semiHidden/>
    <w:unhideWhenUsed/>
    <w:rsid w:val="005E149E"/>
    <w:pPr>
      <w:spacing w:line="240" w:lineRule="auto"/>
    </w:pPr>
    <w:rPr>
      <w:sz w:val="20"/>
      <w:szCs w:val="20"/>
    </w:rPr>
  </w:style>
  <w:style w:type="character" w:customStyle="1" w:styleId="CommentTextChar">
    <w:name w:val="Comment Text Char"/>
    <w:basedOn w:val="DefaultParagraphFont"/>
    <w:link w:val="CommentText"/>
    <w:uiPriority w:val="99"/>
    <w:semiHidden/>
    <w:rsid w:val="005E149E"/>
    <w:rPr>
      <w:sz w:val="20"/>
      <w:szCs w:val="20"/>
    </w:rPr>
  </w:style>
  <w:style w:type="paragraph" w:styleId="CommentSubject">
    <w:name w:val="annotation subject"/>
    <w:basedOn w:val="CommentText"/>
    <w:next w:val="CommentText"/>
    <w:link w:val="CommentSubjectChar"/>
    <w:uiPriority w:val="99"/>
    <w:semiHidden/>
    <w:unhideWhenUsed/>
    <w:rsid w:val="005E149E"/>
    <w:rPr>
      <w:b/>
      <w:bCs/>
    </w:rPr>
  </w:style>
  <w:style w:type="character" w:customStyle="1" w:styleId="CommentSubjectChar">
    <w:name w:val="Comment Subject Char"/>
    <w:basedOn w:val="CommentTextChar"/>
    <w:link w:val="CommentSubject"/>
    <w:uiPriority w:val="99"/>
    <w:semiHidden/>
    <w:rsid w:val="005E149E"/>
    <w:rPr>
      <w:b/>
      <w:bCs/>
      <w:sz w:val="20"/>
      <w:szCs w:val="20"/>
    </w:rPr>
  </w:style>
  <w:style w:type="paragraph" w:styleId="Footer">
    <w:name w:val="footer"/>
    <w:basedOn w:val="Normal"/>
    <w:link w:val="FooterChar"/>
    <w:uiPriority w:val="99"/>
    <w:unhideWhenUsed/>
    <w:rsid w:val="005E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49E"/>
  </w:style>
  <w:style w:type="paragraph" w:customStyle="1" w:styleId="Default">
    <w:name w:val="Default"/>
    <w:basedOn w:val="Normal"/>
    <w:rsid w:val="005E149E"/>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5E149E"/>
    <w:pPr>
      <w:spacing w:after="0" w:line="240" w:lineRule="auto"/>
    </w:pPr>
  </w:style>
  <w:style w:type="character" w:styleId="Hyperlink">
    <w:name w:val="Hyperlink"/>
    <w:basedOn w:val="DefaultParagraphFont"/>
    <w:uiPriority w:val="99"/>
    <w:semiHidden/>
    <w:unhideWhenUsed/>
    <w:rsid w:val="005E149E"/>
    <w:rPr>
      <w:color w:val="0000FF"/>
      <w:u w:val="single"/>
    </w:rPr>
  </w:style>
  <w:style w:type="character" w:styleId="FollowedHyperlink">
    <w:name w:val="FollowedHyperlink"/>
    <w:basedOn w:val="DefaultParagraphFont"/>
    <w:uiPriority w:val="99"/>
    <w:semiHidden/>
    <w:unhideWhenUsed/>
    <w:rsid w:val="005E149E"/>
    <w:rPr>
      <w:color w:val="800080"/>
      <w:u w:val="single"/>
    </w:rPr>
  </w:style>
  <w:style w:type="paragraph" w:customStyle="1" w:styleId="xl63">
    <w:name w:val="xl63"/>
    <w:basedOn w:val="Normal"/>
    <w:rsid w:val="005E149E"/>
    <w:pPr>
      <w:spacing w:before="100" w:beforeAutospacing="1" w:after="100" w:afterAutospacing="1" w:line="240" w:lineRule="auto"/>
    </w:pPr>
    <w:rPr>
      <w:rFonts w:ascii="Arial" w:eastAsia="Times New Roman" w:hAnsi="Arial" w:cs="Arial"/>
      <w:sz w:val="20"/>
      <w:szCs w:val="20"/>
      <w:lang w:eastAsia="en-GB"/>
    </w:rPr>
  </w:style>
  <w:style w:type="paragraph" w:customStyle="1" w:styleId="xl64">
    <w:name w:val="xl64"/>
    <w:basedOn w:val="Normal"/>
    <w:rsid w:val="005E149E"/>
    <w:pPr>
      <w:spacing w:before="100" w:beforeAutospacing="1" w:after="100" w:afterAutospacing="1" w:line="240" w:lineRule="auto"/>
    </w:pPr>
    <w:rPr>
      <w:rFonts w:ascii="Arial" w:eastAsia="Times New Roman" w:hAnsi="Arial" w:cs="Arial"/>
      <w:sz w:val="20"/>
      <w:szCs w:val="20"/>
      <w:lang w:eastAsia="en-GB"/>
    </w:rPr>
  </w:style>
  <w:style w:type="paragraph" w:customStyle="1" w:styleId="xl65">
    <w:name w:val="xl65"/>
    <w:basedOn w:val="Normal"/>
    <w:rsid w:val="005E149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Arial" w:eastAsia="Times New Roman" w:hAnsi="Arial" w:cs="Arial"/>
      <w:b/>
      <w:bCs/>
      <w:sz w:val="20"/>
      <w:szCs w:val="20"/>
      <w:lang w:eastAsia="en-GB"/>
    </w:rPr>
  </w:style>
  <w:style w:type="paragraph" w:customStyle="1" w:styleId="xl66">
    <w:name w:val="xl66"/>
    <w:basedOn w:val="Normal"/>
    <w:rsid w:val="005E14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5E14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n-GB"/>
    </w:rPr>
  </w:style>
  <w:style w:type="character" w:customStyle="1" w:styleId="ListParagraphChar">
    <w:name w:val="List Paragraph Char"/>
    <w:link w:val="ListParagraph"/>
    <w:uiPriority w:val="34"/>
    <w:locked/>
    <w:rsid w:val="00A751CA"/>
  </w:style>
  <w:style w:type="character" w:customStyle="1" w:styleId="Heading1Char">
    <w:name w:val="Heading 1 Char"/>
    <w:basedOn w:val="DefaultParagraphFont"/>
    <w:link w:val="Heading1"/>
    <w:uiPriority w:val="9"/>
    <w:rsid w:val="00611B25"/>
    <w:rPr>
      <w:rFonts w:asciiTheme="majorHAnsi" w:eastAsiaTheme="majorEastAsia" w:hAnsiTheme="majorHAnsi" w:cstheme="majorBidi"/>
      <w:color w:val="365F91" w:themeColor="accent1" w:themeShade="BF"/>
      <w:sz w:val="32"/>
      <w:szCs w:val="32"/>
    </w:rPr>
  </w:style>
  <w:style w:type="table" w:customStyle="1" w:styleId="TableGrid5">
    <w:name w:val="Table Grid5"/>
    <w:basedOn w:val="TableNormal"/>
    <w:next w:val="TableGrid"/>
    <w:uiPriority w:val="59"/>
    <w:rsid w:val="00EC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328">
      <w:bodyDiv w:val="1"/>
      <w:marLeft w:val="0"/>
      <w:marRight w:val="0"/>
      <w:marTop w:val="0"/>
      <w:marBottom w:val="0"/>
      <w:divBdr>
        <w:top w:val="none" w:sz="0" w:space="0" w:color="auto"/>
        <w:left w:val="none" w:sz="0" w:space="0" w:color="auto"/>
        <w:bottom w:val="none" w:sz="0" w:space="0" w:color="auto"/>
        <w:right w:val="none" w:sz="0" w:space="0" w:color="auto"/>
      </w:divBdr>
    </w:div>
    <w:div w:id="78404509">
      <w:bodyDiv w:val="1"/>
      <w:marLeft w:val="0"/>
      <w:marRight w:val="0"/>
      <w:marTop w:val="0"/>
      <w:marBottom w:val="0"/>
      <w:divBdr>
        <w:top w:val="none" w:sz="0" w:space="0" w:color="auto"/>
        <w:left w:val="none" w:sz="0" w:space="0" w:color="auto"/>
        <w:bottom w:val="none" w:sz="0" w:space="0" w:color="auto"/>
        <w:right w:val="none" w:sz="0" w:space="0" w:color="auto"/>
      </w:divBdr>
    </w:div>
    <w:div w:id="85736496">
      <w:bodyDiv w:val="1"/>
      <w:marLeft w:val="0"/>
      <w:marRight w:val="0"/>
      <w:marTop w:val="0"/>
      <w:marBottom w:val="0"/>
      <w:divBdr>
        <w:top w:val="none" w:sz="0" w:space="0" w:color="auto"/>
        <w:left w:val="none" w:sz="0" w:space="0" w:color="auto"/>
        <w:bottom w:val="none" w:sz="0" w:space="0" w:color="auto"/>
        <w:right w:val="none" w:sz="0" w:space="0" w:color="auto"/>
      </w:divBdr>
    </w:div>
    <w:div w:id="145784490">
      <w:bodyDiv w:val="1"/>
      <w:marLeft w:val="0"/>
      <w:marRight w:val="0"/>
      <w:marTop w:val="0"/>
      <w:marBottom w:val="0"/>
      <w:divBdr>
        <w:top w:val="none" w:sz="0" w:space="0" w:color="auto"/>
        <w:left w:val="none" w:sz="0" w:space="0" w:color="auto"/>
        <w:bottom w:val="none" w:sz="0" w:space="0" w:color="auto"/>
        <w:right w:val="none" w:sz="0" w:space="0" w:color="auto"/>
      </w:divBdr>
    </w:div>
    <w:div w:id="151413859">
      <w:bodyDiv w:val="1"/>
      <w:marLeft w:val="0"/>
      <w:marRight w:val="0"/>
      <w:marTop w:val="0"/>
      <w:marBottom w:val="0"/>
      <w:divBdr>
        <w:top w:val="none" w:sz="0" w:space="0" w:color="auto"/>
        <w:left w:val="none" w:sz="0" w:space="0" w:color="auto"/>
        <w:bottom w:val="none" w:sz="0" w:space="0" w:color="auto"/>
        <w:right w:val="none" w:sz="0" w:space="0" w:color="auto"/>
      </w:divBdr>
    </w:div>
    <w:div w:id="351221980">
      <w:bodyDiv w:val="1"/>
      <w:marLeft w:val="0"/>
      <w:marRight w:val="0"/>
      <w:marTop w:val="0"/>
      <w:marBottom w:val="0"/>
      <w:divBdr>
        <w:top w:val="none" w:sz="0" w:space="0" w:color="auto"/>
        <w:left w:val="none" w:sz="0" w:space="0" w:color="auto"/>
        <w:bottom w:val="none" w:sz="0" w:space="0" w:color="auto"/>
        <w:right w:val="none" w:sz="0" w:space="0" w:color="auto"/>
      </w:divBdr>
    </w:div>
    <w:div w:id="431626625">
      <w:bodyDiv w:val="1"/>
      <w:marLeft w:val="0"/>
      <w:marRight w:val="0"/>
      <w:marTop w:val="0"/>
      <w:marBottom w:val="0"/>
      <w:divBdr>
        <w:top w:val="none" w:sz="0" w:space="0" w:color="auto"/>
        <w:left w:val="none" w:sz="0" w:space="0" w:color="auto"/>
        <w:bottom w:val="none" w:sz="0" w:space="0" w:color="auto"/>
        <w:right w:val="none" w:sz="0" w:space="0" w:color="auto"/>
      </w:divBdr>
    </w:div>
    <w:div w:id="530918151">
      <w:bodyDiv w:val="1"/>
      <w:marLeft w:val="0"/>
      <w:marRight w:val="0"/>
      <w:marTop w:val="0"/>
      <w:marBottom w:val="0"/>
      <w:divBdr>
        <w:top w:val="none" w:sz="0" w:space="0" w:color="auto"/>
        <w:left w:val="none" w:sz="0" w:space="0" w:color="auto"/>
        <w:bottom w:val="none" w:sz="0" w:space="0" w:color="auto"/>
        <w:right w:val="none" w:sz="0" w:space="0" w:color="auto"/>
      </w:divBdr>
    </w:div>
    <w:div w:id="541983148">
      <w:bodyDiv w:val="1"/>
      <w:marLeft w:val="0"/>
      <w:marRight w:val="0"/>
      <w:marTop w:val="0"/>
      <w:marBottom w:val="0"/>
      <w:divBdr>
        <w:top w:val="none" w:sz="0" w:space="0" w:color="auto"/>
        <w:left w:val="none" w:sz="0" w:space="0" w:color="auto"/>
        <w:bottom w:val="none" w:sz="0" w:space="0" w:color="auto"/>
        <w:right w:val="none" w:sz="0" w:space="0" w:color="auto"/>
      </w:divBdr>
    </w:div>
    <w:div w:id="543718728">
      <w:bodyDiv w:val="1"/>
      <w:marLeft w:val="0"/>
      <w:marRight w:val="0"/>
      <w:marTop w:val="0"/>
      <w:marBottom w:val="0"/>
      <w:divBdr>
        <w:top w:val="none" w:sz="0" w:space="0" w:color="auto"/>
        <w:left w:val="none" w:sz="0" w:space="0" w:color="auto"/>
        <w:bottom w:val="none" w:sz="0" w:space="0" w:color="auto"/>
        <w:right w:val="none" w:sz="0" w:space="0" w:color="auto"/>
      </w:divBdr>
    </w:div>
    <w:div w:id="632295139">
      <w:bodyDiv w:val="1"/>
      <w:marLeft w:val="0"/>
      <w:marRight w:val="0"/>
      <w:marTop w:val="0"/>
      <w:marBottom w:val="0"/>
      <w:divBdr>
        <w:top w:val="none" w:sz="0" w:space="0" w:color="auto"/>
        <w:left w:val="none" w:sz="0" w:space="0" w:color="auto"/>
        <w:bottom w:val="none" w:sz="0" w:space="0" w:color="auto"/>
        <w:right w:val="none" w:sz="0" w:space="0" w:color="auto"/>
      </w:divBdr>
    </w:div>
    <w:div w:id="643003888">
      <w:bodyDiv w:val="1"/>
      <w:marLeft w:val="0"/>
      <w:marRight w:val="0"/>
      <w:marTop w:val="0"/>
      <w:marBottom w:val="0"/>
      <w:divBdr>
        <w:top w:val="none" w:sz="0" w:space="0" w:color="auto"/>
        <w:left w:val="none" w:sz="0" w:space="0" w:color="auto"/>
        <w:bottom w:val="none" w:sz="0" w:space="0" w:color="auto"/>
        <w:right w:val="none" w:sz="0" w:space="0" w:color="auto"/>
      </w:divBdr>
    </w:div>
    <w:div w:id="656803310">
      <w:bodyDiv w:val="1"/>
      <w:marLeft w:val="0"/>
      <w:marRight w:val="0"/>
      <w:marTop w:val="0"/>
      <w:marBottom w:val="0"/>
      <w:divBdr>
        <w:top w:val="none" w:sz="0" w:space="0" w:color="auto"/>
        <w:left w:val="none" w:sz="0" w:space="0" w:color="auto"/>
        <w:bottom w:val="none" w:sz="0" w:space="0" w:color="auto"/>
        <w:right w:val="none" w:sz="0" w:space="0" w:color="auto"/>
      </w:divBdr>
    </w:div>
    <w:div w:id="663894422">
      <w:bodyDiv w:val="1"/>
      <w:marLeft w:val="0"/>
      <w:marRight w:val="0"/>
      <w:marTop w:val="0"/>
      <w:marBottom w:val="0"/>
      <w:divBdr>
        <w:top w:val="none" w:sz="0" w:space="0" w:color="auto"/>
        <w:left w:val="none" w:sz="0" w:space="0" w:color="auto"/>
        <w:bottom w:val="none" w:sz="0" w:space="0" w:color="auto"/>
        <w:right w:val="none" w:sz="0" w:space="0" w:color="auto"/>
      </w:divBdr>
    </w:div>
    <w:div w:id="709576618">
      <w:bodyDiv w:val="1"/>
      <w:marLeft w:val="0"/>
      <w:marRight w:val="0"/>
      <w:marTop w:val="0"/>
      <w:marBottom w:val="0"/>
      <w:divBdr>
        <w:top w:val="none" w:sz="0" w:space="0" w:color="auto"/>
        <w:left w:val="none" w:sz="0" w:space="0" w:color="auto"/>
        <w:bottom w:val="none" w:sz="0" w:space="0" w:color="auto"/>
        <w:right w:val="none" w:sz="0" w:space="0" w:color="auto"/>
      </w:divBdr>
    </w:div>
    <w:div w:id="784270649">
      <w:bodyDiv w:val="1"/>
      <w:marLeft w:val="0"/>
      <w:marRight w:val="0"/>
      <w:marTop w:val="0"/>
      <w:marBottom w:val="0"/>
      <w:divBdr>
        <w:top w:val="none" w:sz="0" w:space="0" w:color="auto"/>
        <w:left w:val="none" w:sz="0" w:space="0" w:color="auto"/>
        <w:bottom w:val="none" w:sz="0" w:space="0" w:color="auto"/>
        <w:right w:val="none" w:sz="0" w:space="0" w:color="auto"/>
      </w:divBdr>
    </w:div>
    <w:div w:id="937173418">
      <w:bodyDiv w:val="1"/>
      <w:marLeft w:val="0"/>
      <w:marRight w:val="0"/>
      <w:marTop w:val="0"/>
      <w:marBottom w:val="0"/>
      <w:divBdr>
        <w:top w:val="none" w:sz="0" w:space="0" w:color="auto"/>
        <w:left w:val="none" w:sz="0" w:space="0" w:color="auto"/>
        <w:bottom w:val="none" w:sz="0" w:space="0" w:color="auto"/>
        <w:right w:val="none" w:sz="0" w:space="0" w:color="auto"/>
      </w:divBdr>
    </w:div>
    <w:div w:id="941112795">
      <w:bodyDiv w:val="1"/>
      <w:marLeft w:val="0"/>
      <w:marRight w:val="0"/>
      <w:marTop w:val="0"/>
      <w:marBottom w:val="0"/>
      <w:divBdr>
        <w:top w:val="none" w:sz="0" w:space="0" w:color="auto"/>
        <w:left w:val="none" w:sz="0" w:space="0" w:color="auto"/>
        <w:bottom w:val="none" w:sz="0" w:space="0" w:color="auto"/>
        <w:right w:val="none" w:sz="0" w:space="0" w:color="auto"/>
      </w:divBdr>
    </w:div>
    <w:div w:id="976493827">
      <w:bodyDiv w:val="1"/>
      <w:marLeft w:val="0"/>
      <w:marRight w:val="0"/>
      <w:marTop w:val="0"/>
      <w:marBottom w:val="0"/>
      <w:divBdr>
        <w:top w:val="none" w:sz="0" w:space="0" w:color="auto"/>
        <w:left w:val="none" w:sz="0" w:space="0" w:color="auto"/>
        <w:bottom w:val="none" w:sz="0" w:space="0" w:color="auto"/>
        <w:right w:val="none" w:sz="0" w:space="0" w:color="auto"/>
      </w:divBdr>
    </w:div>
    <w:div w:id="1009987446">
      <w:bodyDiv w:val="1"/>
      <w:marLeft w:val="0"/>
      <w:marRight w:val="0"/>
      <w:marTop w:val="0"/>
      <w:marBottom w:val="0"/>
      <w:divBdr>
        <w:top w:val="none" w:sz="0" w:space="0" w:color="auto"/>
        <w:left w:val="none" w:sz="0" w:space="0" w:color="auto"/>
        <w:bottom w:val="none" w:sz="0" w:space="0" w:color="auto"/>
        <w:right w:val="none" w:sz="0" w:space="0" w:color="auto"/>
      </w:divBdr>
    </w:div>
    <w:div w:id="1033193901">
      <w:bodyDiv w:val="1"/>
      <w:marLeft w:val="0"/>
      <w:marRight w:val="0"/>
      <w:marTop w:val="0"/>
      <w:marBottom w:val="0"/>
      <w:divBdr>
        <w:top w:val="none" w:sz="0" w:space="0" w:color="auto"/>
        <w:left w:val="none" w:sz="0" w:space="0" w:color="auto"/>
        <w:bottom w:val="none" w:sz="0" w:space="0" w:color="auto"/>
        <w:right w:val="none" w:sz="0" w:space="0" w:color="auto"/>
      </w:divBdr>
    </w:div>
    <w:div w:id="1034886111">
      <w:bodyDiv w:val="1"/>
      <w:marLeft w:val="0"/>
      <w:marRight w:val="0"/>
      <w:marTop w:val="0"/>
      <w:marBottom w:val="0"/>
      <w:divBdr>
        <w:top w:val="none" w:sz="0" w:space="0" w:color="auto"/>
        <w:left w:val="none" w:sz="0" w:space="0" w:color="auto"/>
        <w:bottom w:val="none" w:sz="0" w:space="0" w:color="auto"/>
        <w:right w:val="none" w:sz="0" w:space="0" w:color="auto"/>
      </w:divBdr>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
    <w:div w:id="1062096818">
      <w:bodyDiv w:val="1"/>
      <w:marLeft w:val="0"/>
      <w:marRight w:val="0"/>
      <w:marTop w:val="0"/>
      <w:marBottom w:val="0"/>
      <w:divBdr>
        <w:top w:val="none" w:sz="0" w:space="0" w:color="auto"/>
        <w:left w:val="none" w:sz="0" w:space="0" w:color="auto"/>
        <w:bottom w:val="none" w:sz="0" w:space="0" w:color="auto"/>
        <w:right w:val="none" w:sz="0" w:space="0" w:color="auto"/>
      </w:divBdr>
    </w:div>
    <w:div w:id="1067917919">
      <w:bodyDiv w:val="1"/>
      <w:marLeft w:val="0"/>
      <w:marRight w:val="0"/>
      <w:marTop w:val="0"/>
      <w:marBottom w:val="0"/>
      <w:divBdr>
        <w:top w:val="none" w:sz="0" w:space="0" w:color="auto"/>
        <w:left w:val="none" w:sz="0" w:space="0" w:color="auto"/>
        <w:bottom w:val="none" w:sz="0" w:space="0" w:color="auto"/>
        <w:right w:val="none" w:sz="0" w:space="0" w:color="auto"/>
      </w:divBdr>
    </w:div>
    <w:div w:id="1086267934">
      <w:bodyDiv w:val="1"/>
      <w:marLeft w:val="0"/>
      <w:marRight w:val="0"/>
      <w:marTop w:val="0"/>
      <w:marBottom w:val="0"/>
      <w:divBdr>
        <w:top w:val="none" w:sz="0" w:space="0" w:color="auto"/>
        <w:left w:val="none" w:sz="0" w:space="0" w:color="auto"/>
        <w:bottom w:val="none" w:sz="0" w:space="0" w:color="auto"/>
        <w:right w:val="none" w:sz="0" w:space="0" w:color="auto"/>
      </w:divBdr>
    </w:div>
    <w:div w:id="1112436097">
      <w:bodyDiv w:val="1"/>
      <w:marLeft w:val="0"/>
      <w:marRight w:val="0"/>
      <w:marTop w:val="0"/>
      <w:marBottom w:val="0"/>
      <w:divBdr>
        <w:top w:val="none" w:sz="0" w:space="0" w:color="auto"/>
        <w:left w:val="none" w:sz="0" w:space="0" w:color="auto"/>
        <w:bottom w:val="none" w:sz="0" w:space="0" w:color="auto"/>
        <w:right w:val="none" w:sz="0" w:space="0" w:color="auto"/>
      </w:divBdr>
    </w:div>
    <w:div w:id="1271429342">
      <w:bodyDiv w:val="1"/>
      <w:marLeft w:val="0"/>
      <w:marRight w:val="0"/>
      <w:marTop w:val="0"/>
      <w:marBottom w:val="0"/>
      <w:divBdr>
        <w:top w:val="none" w:sz="0" w:space="0" w:color="auto"/>
        <w:left w:val="none" w:sz="0" w:space="0" w:color="auto"/>
        <w:bottom w:val="none" w:sz="0" w:space="0" w:color="auto"/>
        <w:right w:val="none" w:sz="0" w:space="0" w:color="auto"/>
      </w:divBdr>
    </w:div>
    <w:div w:id="1296640753">
      <w:bodyDiv w:val="1"/>
      <w:marLeft w:val="0"/>
      <w:marRight w:val="0"/>
      <w:marTop w:val="0"/>
      <w:marBottom w:val="0"/>
      <w:divBdr>
        <w:top w:val="none" w:sz="0" w:space="0" w:color="auto"/>
        <w:left w:val="none" w:sz="0" w:space="0" w:color="auto"/>
        <w:bottom w:val="none" w:sz="0" w:space="0" w:color="auto"/>
        <w:right w:val="none" w:sz="0" w:space="0" w:color="auto"/>
      </w:divBdr>
    </w:div>
    <w:div w:id="1390886949">
      <w:bodyDiv w:val="1"/>
      <w:marLeft w:val="0"/>
      <w:marRight w:val="0"/>
      <w:marTop w:val="0"/>
      <w:marBottom w:val="0"/>
      <w:divBdr>
        <w:top w:val="none" w:sz="0" w:space="0" w:color="auto"/>
        <w:left w:val="none" w:sz="0" w:space="0" w:color="auto"/>
        <w:bottom w:val="none" w:sz="0" w:space="0" w:color="auto"/>
        <w:right w:val="none" w:sz="0" w:space="0" w:color="auto"/>
      </w:divBdr>
    </w:div>
    <w:div w:id="1408070952">
      <w:bodyDiv w:val="1"/>
      <w:marLeft w:val="0"/>
      <w:marRight w:val="0"/>
      <w:marTop w:val="0"/>
      <w:marBottom w:val="0"/>
      <w:divBdr>
        <w:top w:val="none" w:sz="0" w:space="0" w:color="auto"/>
        <w:left w:val="none" w:sz="0" w:space="0" w:color="auto"/>
        <w:bottom w:val="none" w:sz="0" w:space="0" w:color="auto"/>
        <w:right w:val="none" w:sz="0" w:space="0" w:color="auto"/>
      </w:divBdr>
    </w:div>
    <w:div w:id="1431782049">
      <w:bodyDiv w:val="1"/>
      <w:marLeft w:val="0"/>
      <w:marRight w:val="0"/>
      <w:marTop w:val="0"/>
      <w:marBottom w:val="0"/>
      <w:divBdr>
        <w:top w:val="none" w:sz="0" w:space="0" w:color="auto"/>
        <w:left w:val="none" w:sz="0" w:space="0" w:color="auto"/>
        <w:bottom w:val="none" w:sz="0" w:space="0" w:color="auto"/>
        <w:right w:val="none" w:sz="0" w:space="0" w:color="auto"/>
      </w:divBdr>
    </w:div>
    <w:div w:id="1443693172">
      <w:bodyDiv w:val="1"/>
      <w:marLeft w:val="0"/>
      <w:marRight w:val="0"/>
      <w:marTop w:val="0"/>
      <w:marBottom w:val="0"/>
      <w:divBdr>
        <w:top w:val="none" w:sz="0" w:space="0" w:color="auto"/>
        <w:left w:val="none" w:sz="0" w:space="0" w:color="auto"/>
        <w:bottom w:val="none" w:sz="0" w:space="0" w:color="auto"/>
        <w:right w:val="none" w:sz="0" w:space="0" w:color="auto"/>
      </w:divBdr>
    </w:div>
    <w:div w:id="1450582691">
      <w:bodyDiv w:val="1"/>
      <w:marLeft w:val="0"/>
      <w:marRight w:val="0"/>
      <w:marTop w:val="0"/>
      <w:marBottom w:val="0"/>
      <w:divBdr>
        <w:top w:val="none" w:sz="0" w:space="0" w:color="auto"/>
        <w:left w:val="none" w:sz="0" w:space="0" w:color="auto"/>
        <w:bottom w:val="none" w:sz="0" w:space="0" w:color="auto"/>
        <w:right w:val="none" w:sz="0" w:space="0" w:color="auto"/>
      </w:divBdr>
    </w:div>
    <w:div w:id="1504125227">
      <w:bodyDiv w:val="1"/>
      <w:marLeft w:val="0"/>
      <w:marRight w:val="0"/>
      <w:marTop w:val="0"/>
      <w:marBottom w:val="0"/>
      <w:divBdr>
        <w:top w:val="none" w:sz="0" w:space="0" w:color="auto"/>
        <w:left w:val="none" w:sz="0" w:space="0" w:color="auto"/>
        <w:bottom w:val="none" w:sz="0" w:space="0" w:color="auto"/>
        <w:right w:val="none" w:sz="0" w:space="0" w:color="auto"/>
      </w:divBdr>
    </w:div>
    <w:div w:id="1625187389">
      <w:bodyDiv w:val="1"/>
      <w:marLeft w:val="0"/>
      <w:marRight w:val="0"/>
      <w:marTop w:val="0"/>
      <w:marBottom w:val="0"/>
      <w:divBdr>
        <w:top w:val="none" w:sz="0" w:space="0" w:color="auto"/>
        <w:left w:val="none" w:sz="0" w:space="0" w:color="auto"/>
        <w:bottom w:val="none" w:sz="0" w:space="0" w:color="auto"/>
        <w:right w:val="none" w:sz="0" w:space="0" w:color="auto"/>
      </w:divBdr>
    </w:div>
    <w:div w:id="1629891660">
      <w:bodyDiv w:val="1"/>
      <w:marLeft w:val="0"/>
      <w:marRight w:val="0"/>
      <w:marTop w:val="0"/>
      <w:marBottom w:val="0"/>
      <w:divBdr>
        <w:top w:val="none" w:sz="0" w:space="0" w:color="auto"/>
        <w:left w:val="none" w:sz="0" w:space="0" w:color="auto"/>
        <w:bottom w:val="none" w:sz="0" w:space="0" w:color="auto"/>
        <w:right w:val="none" w:sz="0" w:space="0" w:color="auto"/>
      </w:divBdr>
    </w:div>
    <w:div w:id="1751275052">
      <w:bodyDiv w:val="1"/>
      <w:marLeft w:val="0"/>
      <w:marRight w:val="0"/>
      <w:marTop w:val="0"/>
      <w:marBottom w:val="0"/>
      <w:divBdr>
        <w:top w:val="none" w:sz="0" w:space="0" w:color="auto"/>
        <w:left w:val="none" w:sz="0" w:space="0" w:color="auto"/>
        <w:bottom w:val="none" w:sz="0" w:space="0" w:color="auto"/>
        <w:right w:val="none" w:sz="0" w:space="0" w:color="auto"/>
      </w:divBdr>
    </w:div>
    <w:div w:id="1783572428">
      <w:bodyDiv w:val="1"/>
      <w:marLeft w:val="0"/>
      <w:marRight w:val="0"/>
      <w:marTop w:val="0"/>
      <w:marBottom w:val="0"/>
      <w:divBdr>
        <w:top w:val="none" w:sz="0" w:space="0" w:color="auto"/>
        <w:left w:val="none" w:sz="0" w:space="0" w:color="auto"/>
        <w:bottom w:val="none" w:sz="0" w:space="0" w:color="auto"/>
        <w:right w:val="none" w:sz="0" w:space="0" w:color="auto"/>
      </w:divBdr>
    </w:div>
    <w:div w:id="1890920368">
      <w:bodyDiv w:val="1"/>
      <w:marLeft w:val="0"/>
      <w:marRight w:val="0"/>
      <w:marTop w:val="0"/>
      <w:marBottom w:val="0"/>
      <w:divBdr>
        <w:top w:val="none" w:sz="0" w:space="0" w:color="auto"/>
        <w:left w:val="none" w:sz="0" w:space="0" w:color="auto"/>
        <w:bottom w:val="none" w:sz="0" w:space="0" w:color="auto"/>
        <w:right w:val="none" w:sz="0" w:space="0" w:color="auto"/>
      </w:divBdr>
    </w:div>
    <w:div w:id="1895193330">
      <w:bodyDiv w:val="1"/>
      <w:marLeft w:val="0"/>
      <w:marRight w:val="0"/>
      <w:marTop w:val="0"/>
      <w:marBottom w:val="0"/>
      <w:divBdr>
        <w:top w:val="none" w:sz="0" w:space="0" w:color="auto"/>
        <w:left w:val="none" w:sz="0" w:space="0" w:color="auto"/>
        <w:bottom w:val="none" w:sz="0" w:space="0" w:color="auto"/>
        <w:right w:val="none" w:sz="0" w:space="0" w:color="auto"/>
      </w:divBdr>
    </w:div>
    <w:div w:id="1903055783">
      <w:bodyDiv w:val="1"/>
      <w:marLeft w:val="0"/>
      <w:marRight w:val="0"/>
      <w:marTop w:val="0"/>
      <w:marBottom w:val="0"/>
      <w:divBdr>
        <w:top w:val="none" w:sz="0" w:space="0" w:color="auto"/>
        <w:left w:val="none" w:sz="0" w:space="0" w:color="auto"/>
        <w:bottom w:val="none" w:sz="0" w:space="0" w:color="auto"/>
        <w:right w:val="none" w:sz="0" w:space="0" w:color="auto"/>
      </w:divBdr>
    </w:div>
    <w:div w:id="1919558477">
      <w:bodyDiv w:val="1"/>
      <w:marLeft w:val="0"/>
      <w:marRight w:val="0"/>
      <w:marTop w:val="0"/>
      <w:marBottom w:val="0"/>
      <w:divBdr>
        <w:top w:val="none" w:sz="0" w:space="0" w:color="auto"/>
        <w:left w:val="none" w:sz="0" w:space="0" w:color="auto"/>
        <w:bottom w:val="none" w:sz="0" w:space="0" w:color="auto"/>
        <w:right w:val="none" w:sz="0" w:space="0" w:color="auto"/>
      </w:divBdr>
    </w:div>
    <w:div w:id="1923222195">
      <w:bodyDiv w:val="1"/>
      <w:marLeft w:val="0"/>
      <w:marRight w:val="0"/>
      <w:marTop w:val="0"/>
      <w:marBottom w:val="0"/>
      <w:divBdr>
        <w:top w:val="none" w:sz="0" w:space="0" w:color="auto"/>
        <w:left w:val="none" w:sz="0" w:space="0" w:color="auto"/>
        <w:bottom w:val="none" w:sz="0" w:space="0" w:color="auto"/>
        <w:right w:val="none" w:sz="0" w:space="0" w:color="auto"/>
      </w:divBdr>
    </w:div>
    <w:div w:id="2055542697">
      <w:bodyDiv w:val="1"/>
      <w:marLeft w:val="0"/>
      <w:marRight w:val="0"/>
      <w:marTop w:val="0"/>
      <w:marBottom w:val="0"/>
      <w:divBdr>
        <w:top w:val="none" w:sz="0" w:space="0" w:color="auto"/>
        <w:left w:val="none" w:sz="0" w:space="0" w:color="auto"/>
        <w:bottom w:val="none" w:sz="0" w:space="0" w:color="auto"/>
        <w:right w:val="none" w:sz="0" w:space="0" w:color="auto"/>
      </w:divBdr>
    </w:div>
    <w:div w:id="2089107306">
      <w:bodyDiv w:val="1"/>
      <w:marLeft w:val="0"/>
      <w:marRight w:val="0"/>
      <w:marTop w:val="0"/>
      <w:marBottom w:val="0"/>
      <w:divBdr>
        <w:top w:val="none" w:sz="0" w:space="0" w:color="auto"/>
        <w:left w:val="none" w:sz="0" w:space="0" w:color="auto"/>
        <w:bottom w:val="none" w:sz="0" w:space="0" w:color="auto"/>
        <w:right w:val="none" w:sz="0" w:space="0" w:color="auto"/>
      </w:divBdr>
    </w:div>
    <w:div w:id="21470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nhs.sharepoint.com/sites/msteams_6e999e/Shared%20Documents/Board%20Reports/Mortality%20Report/2025/February%20Report%20(Sept-Dec%2024%20Data)/Count%20by%20Syste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[Count by System.xlsx]Sheet2!PivotTable1</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Analysis by System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Sheet2!$A$4:$A$6</c:f>
              <c:strCache>
                <c:ptCount val="2"/>
                <c:pt idx="0">
                  <c:v>SystmOne</c:v>
                </c:pt>
                <c:pt idx="1">
                  <c:v>IAPT</c:v>
                </c:pt>
              </c:strCache>
            </c:strRef>
          </c:cat>
          <c:val>
            <c:numRef>
              <c:f>Sheet2!$B$4:$B$6</c:f>
              <c:numCache>
                <c:formatCode>General</c:formatCode>
                <c:ptCount val="2"/>
                <c:pt idx="0">
                  <c:v>573</c:v>
                </c:pt>
                <c:pt idx="1">
                  <c:v>9</c:v>
                </c:pt>
              </c:numCache>
            </c:numRef>
          </c:val>
          <c:extLst>
            <c:ext xmlns:c16="http://schemas.microsoft.com/office/drawing/2014/chart" uri="{C3380CC4-5D6E-409C-BE32-E72D297353CC}">
              <c16:uniqueId val="{00000000-7791-4F3D-B276-52A150796A1A}"/>
            </c:ext>
          </c:extLst>
        </c:ser>
        <c:dLbls>
          <c:showLegendKey val="0"/>
          <c:showVal val="0"/>
          <c:showCatName val="0"/>
          <c:showSerName val="0"/>
          <c:showPercent val="0"/>
          <c:showBubbleSize val="0"/>
        </c:dLbls>
        <c:gapWidth val="219"/>
        <c:overlap val="-27"/>
        <c:axId val="1973843967"/>
        <c:axId val="1973843007"/>
      </c:barChart>
      <c:catAx>
        <c:axId val="1973843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73843007"/>
        <c:crosses val="autoZero"/>
        <c:auto val="1"/>
        <c:lblAlgn val="ctr"/>
        <c:lblOffset val="100"/>
        <c:noMultiLvlLbl val="0"/>
      </c:catAx>
      <c:valAx>
        <c:axId val="1973843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73843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 by Gender.xlsx]Sheet2!PivotTable1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Analysis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4803149606299214E-2"/>
          <c:y val="0.17171296296296298"/>
          <c:w val="0.89019685039370078"/>
          <c:h val="0.72088764946048411"/>
        </c:manualLayout>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Sheet2!$A$4:$A$6</c:f>
              <c:strCache>
                <c:ptCount val="2"/>
                <c:pt idx="0">
                  <c:v>Male</c:v>
                </c:pt>
                <c:pt idx="1">
                  <c:v>Female</c:v>
                </c:pt>
              </c:strCache>
            </c:strRef>
          </c:cat>
          <c:val>
            <c:numRef>
              <c:f>Sheet2!$B$4:$B$6</c:f>
              <c:numCache>
                <c:formatCode>General</c:formatCode>
                <c:ptCount val="2"/>
                <c:pt idx="0">
                  <c:v>319</c:v>
                </c:pt>
                <c:pt idx="1">
                  <c:v>263</c:v>
                </c:pt>
              </c:numCache>
            </c:numRef>
          </c:val>
          <c:extLst>
            <c:ext xmlns:c16="http://schemas.microsoft.com/office/drawing/2014/chart" uri="{C3380CC4-5D6E-409C-BE32-E72D297353CC}">
              <c16:uniqueId val="{00000000-CC96-4261-BDD4-2DDF77D3D98F}"/>
            </c:ext>
          </c:extLst>
        </c:ser>
        <c:dLbls>
          <c:showLegendKey val="0"/>
          <c:showVal val="0"/>
          <c:showCatName val="0"/>
          <c:showSerName val="0"/>
          <c:showPercent val="0"/>
          <c:showBubbleSize val="0"/>
        </c:dLbls>
        <c:gapWidth val="219"/>
        <c:overlap val="-27"/>
        <c:axId val="548747775"/>
        <c:axId val="548748735"/>
      </c:barChart>
      <c:catAx>
        <c:axId val="54874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8748735"/>
        <c:crosses val="autoZero"/>
        <c:auto val="1"/>
        <c:lblAlgn val="ctr"/>
        <c:lblOffset val="100"/>
        <c:noMultiLvlLbl val="0"/>
      </c:catAx>
      <c:valAx>
        <c:axId val="548748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874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 by Age.xlsx]Sheet2!PivotTable2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Analysis by Age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cat>
            <c:strRef>
              <c:f>Sheet2!$A$4:$A$85</c:f>
              <c:strCache>
                <c:ptCount val="81"/>
                <c:pt idx="0">
                  <c:v>0</c:v>
                </c:pt>
                <c:pt idx="1">
                  <c:v>1</c:v>
                </c:pt>
                <c:pt idx="2">
                  <c:v>3</c:v>
                </c:pt>
                <c:pt idx="3">
                  <c:v>11</c:v>
                </c:pt>
                <c:pt idx="4">
                  <c:v>12</c:v>
                </c:pt>
                <c:pt idx="5">
                  <c:v>15</c:v>
                </c:pt>
                <c:pt idx="6">
                  <c:v>18</c:v>
                </c:pt>
                <c:pt idx="7">
                  <c:v>19</c:v>
                </c:pt>
                <c:pt idx="8">
                  <c:v>20</c:v>
                </c:pt>
                <c:pt idx="9">
                  <c:v>26</c:v>
                </c:pt>
                <c:pt idx="10">
                  <c:v>28</c:v>
                </c:pt>
                <c:pt idx="11">
                  <c:v>29</c:v>
                </c:pt>
                <c:pt idx="12">
                  <c:v>30</c:v>
                </c:pt>
                <c:pt idx="13">
                  <c:v>34</c:v>
                </c:pt>
                <c:pt idx="14">
                  <c:v>35</c:v>
                </c:pt>
                <c:pt idx="15">
                  <c:v>36</c:v>
                </c:pt>
                <c:pt idx="16">
                  <c:v>37</c:v>
                </c:pt>
                <c:pt idx="17">
                  <c:v>38</c:v>
                </c:pt>
                <c:pt idx="18">
                  <c:v>39</c:v>
                </c:pt>
                <c:pt idx="19">
                  <c:v>40</c:v>
                </c:pt>
                <c:pt idx="20">
                  <c:v>41</c:v>
                </c:pt>
                <c:pt idx="21">
                  <c:v>42</c:v>
                </c:pt>
                <c:pt idx="22">
                  <c:v>43</c:v>
                </c:pt>
                <c:pt idx="23">
                  <c:v>44</c:v>
                </c:pt>
                <c:pt idx="24">
                  <c:v>45</c:v>
                </c:pt>
                <c:pt idx="25">
                  <c:v>46</c:v>
                </c:pt>
                <c:pt idx="26">
                  <c:v>47</c:v>
                </c:pt>
                <c:pt idx="27">
                  <c:v>48</c:v>
                </c:pt>
                <c:pt idx="28">
                  <c:v>49</c:v>
                </c:pt>
                <c:pt idx="29">
                  <c:v>50</c:v>
                </c:pt>
                <c:pt idx="30">
                  <c:v>51</c:v>
                </c:pt>
                <c:pt idx="31">
                  <c:v>52</c:v>
                </c:pt>
                <c:pt idx="32">
                  <c:v>53</c:v>
                </c:pt>
                <c:pt idx="33">
                  <c:v>54</c:v>
                </c:pt>
                <c:pt idx="34">
                  <c:v>55</c:v>
                </c:pt>
                <c:pt idx="35">
                  <c:v>56</c:v>
                </c:pt>
                <c:pt idx="36">
                  <c:v>57</c:v>
                </c:pt>
                <c:pt idx="37">
                  <c:v>58</c:v>
                </c:pt>
                <c:pt idx="38">
                  <c:v>59</c:v>
                </c:pt>
                <c:pt idx="39">
                  <c:v>60</c:v>
                </c:pt>
                <c:pt idx="40">
                  <c:v>61</c:v>
                </c:pt>
                <c:pt idx="41">
                  <c:v>62</c:v>
                </c:pt>
                <c:pt idx="42">
                  <c:v>63</c:v>
                </c:pt>
                <c:pt idx="43">
                  <c:v>64</c:v>
                </c:pt>
                <c:pt idx="44">
                  <c:v>65</c:v>
                </c:pt>
                <c:pt idx="45">
                  <c:v>66</c:v>
                </c:pt>
                <c:pt idx="46">
                  <c:v>67</c:v>
                </c:pt>
                <c:pt idx="47">
                  <c:v>68</c:v>
                </c:pt>
                <c:pt idx="48">
                  <c:v>69</c:v>
                </c:pt>
                <c:pt idx="49">
                  <c:v>70</c:v>
                </c:pt>
                <c:pt idx="50">
                  <c:v>71</c:v>
                </c:pt>
                <c:pt idx="51">
                  <c:v>72</c:v>
                </c:pt>
                <c:pt idx="52">
                  <c:v>73</c:v>
                </c:pt>
                <c:pt idx="53">
                  <c:v>74</c:v>
                </c:pt>
                <c:pt idx="54">
                  <c:v>75</c:v>
                </c:pt>
                <c:pt idx="55">
                  <c:v>76</c:v>
                </c:pt>
                <c:pt idx="56">
                  <c:v>77</c:v>
                </c:pt>
                <c:pt idx="57">
                  <c:v>78</c:v>
                </c:pt>
                <c:pt idx="58">
                  <c:v>79</c:v>
                </c:pt>
                <c:pt idx="59">
                  <c:v>80</c:v>
                </c:pt>
                <c:pt idx="60">
                  <c:v>81</c:v>
                </c:pt>
                <c:pt idx="61">
                  <c:v>82</c:v>
                </c:pt>
                <c:pt idx="62">
                  <c:v>83</c:v>
                </c:pt>
                <c:pt idx="63">
                  <c:v>84</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104</c:v>
                </c:pt>
              </c:strCache>
            </c:strRef>
          </c:cat>
          <c:val>
            <c:numRef>
              <c:f>Sheet2!$B$4:$B$85</c:f>
              <c:numCache>
                <c:formatCode>General</c:formatCode>
                <c:ptCount val="81"/>
                <c:pt idx="0">
                  <c:v>10</c:v>
                </c:pt>
                <c:pt idx="1">
                  <c:v>1</c:v>
                </c:pt>
                <c:pt idx="2">
                  <c:v>1</c:v>
                </c:pt>
                <c:pt idx="3">
                  <c:v>1</c:v>
                </c:pt>
                <c:pt idx="4">
                  <c:v>1</c:v>
                </c:pt>
                <c:pt idx="5">
                  <c:v>1</c:v>
                </c:pt>
                <c:pt idx="6">
                  <c:v>1</c:v>
                </c:pt>
                <c:pt idx="7">
                  <c:v>1</c:v>
                </c:pt>
                <c:pt idx="8">
                  <c:v>1</c:v>
                </c:pt>
                <c:pt idx="9">
                  <c:v>1</c:v>
                </c:pt>
                <c:pt idx="10">
                  <c:v>1</c:v>
                </c:pt>
                <c:pt idx="11">
                  <c:v>2</c:v>
                </c:pt>
                <c:pt idx="12">
                  <c:v>3</c:v>
                </c:pt>
                <c:pt idx="13">
                  <c:v>1</c:v>
                </c:pt>
                <c:pt idx="14">
                  <c:v>1</c:v>
                </c:pt>
                <c:pt idx="15">
                  <c:v>4</c:v>
                </c:pt>
                <c:pt idx="16">
                  <c:v>1</c:v>
                </c:pt>
                <c:pt idx="17">
                  <c:v>2</c:v>
                </c:pt>
                <c:pt idx="18">
                  <c:v>2</c:v>
                </c:pt>
                <c:pt idx="19">
                  <c:v>1</c:v>
                </c:pt>
                <c:pt idx="20">
                  <c:v>1</c:v>
                </c:pt>
                <c:pt idx="21">
                  <c:v>2</c:v>
                </c:pt>
                <c:pt idx="22">
                  <c:v>3</c:v>
                </c:pt>
                <c:pt idx="23">
                  <c:v>2</c:v>
                </c:pt>
                <c:pt idx="24">
                  <c:v>5</c:v>
                </c:pt>
                <c:pt idx="25">
                  <c:v>2</c:v>
                </c:pt>
                <c:pt idx="26">
                  <c:v>3</c:v>
                </c:pt>
                <c:pt idx="27">
                  <c:v>3</c:v>
                </c:pt>
                <c:pt idx="28">
                  <c:v>3</c:v>
                </c:pt>
                <c:pt idx="29">
                  <c:v>7</c:v>
                </c:pt>
                <c:pt idx="30">
                  <c:v>5</c:v>
                </c:pt>
                <c:pt idx="31">
                  <c:v>6</c:v>
                </c:pt>
                <c:pt idx="32">
                  <c:v>7</c:v>
                </c:pt>
                <c:pt idx="33">
                  <c:v>6</c:v>
                </c:pt>
                <c:pt idx="34">
                  <c:v>3</c:v>
                </c:pt>
                <c:pt idx="35">
                  <c:v>6</c:v>
                </c:pt>
                <c:pt idx="36">
                  <c:v>4</c:v>
                </c:pt>
                <c:pt idx="37">
                  <c:v>3</c:v>
                </c:pt>
                <c:pt idx="38">
                  <c:v>3</c:v>
                </c:pt>
                <c:pt idx="39">
                  <c:v>9</c:v>
                </c:pt>
                <c:pt idx="40">
                  <c:v>6</c:v>
                </c:pt>
                <c:pt idx="41">
                  <c:v>7</c:v>
                </c:pt>
                <c:pt idx="42">
                  <c:v>5</c:v>
                </c:pt>
                <c:pt idx="43">
                  <c:v>6</c:v>
                </c:pt>
                <c:pt idx="44">
                  <c:v>8</c:v>
                </c:pt>
                <c:pt idx="45">
                  <c:v>7</c:v>
                </c:pt>
                <c:pt idx="46">
                  <c:v>4</c:v>
                </c:pt>
                <c:pt idx="47">
                  <c:v>6</c:v>
                </c:pt>
                <c:pt idx="48">
                  <c:v>6</c:v>
                </c:pt>
                <c:pt idx="49">
                  <c:v>8</c:v>
                </c:pt>
                <c:pt idx="50">
                  <c:v>11</c:v>
                </c:pt>
                <c:pt idx="51">
                  <c:v>8</c:v>
                </c:pt>
                <c:pt idx="52">
                  <c:v>8</c:v>
                </c:pt>
                <c:pt idx="53">
                  <c:v>10</c:v>
                </c:pt>
                <c:pt idx="54">
                  <c:v>10</c:v>
                </c:pt>
                <c:pt idx="55">
                  <c:v>12</c:v>
                </c:pt>
                <c:pt idx="56">
                  <c:v>18</c:v>
                </c:pt>
                <c:pt idx="57">
                  <c:v>11</c:v>
                </c:pt>
                <c:pt idx="58">
                  <c:v>15</c:v>
                </c:pt>
                <c:pt idx="59">
                  <c:v>20</c:v>
                </c:pt>
                <c:pt idx="60">
                  <c:v>21</c:v>
                </c:pt>
                <c:pt idx="61">
                  <c:v>24</c:v>
                </c:pt>
                <c:pt idx="62">
                  <c:v>18</c:v>
                </c:pt>
                <c:pt idx="63">
                  <c:v>24</c:v>
                </c:pt>
                <c:pt idx="64">
                  <c:v>22</c:v>
                </c:pt>
                <c:pt idx="65">
                  <c:v>22</c:v>
                </c:pt>
                <c:pt idx="66">
                  <c:v>23</c:v>
                </c:pt>
                <c:pt idx="67">
                  <c:v>18</c:v>
                </c:pt>
                <c:pt idx="68">
                  <c:v>22</c:v>
                </c:pt>
                <c:pt idx="69">
                  <c:v>8</c:v>
                </c:pt>
                <c:pt idx="70">
                  <c:v>19</c:v>
                </c:pt>
                <c:pt idx="71">
                  <c:v>9</c:v>
                </c:pt>
                <c:pt idx="72">
                  <c:v>16</c:v>
                </c:pt>
                <c:pt idx="73">
                  <c:v>4</c:v>
                </c:pt>
                <c:pt idx="74">
                  <c:v>6</c:v>
                </c:pt>
                <c:pt idx="75">
                  <c:v>8</c:v>
                </c:pt>
                <c:pt idx="76">
                  <c:v>6</c:v>
                </c:pt>
                <c:pt idx="77">
                  <c:v>3</c:v>
                </c:pt>
                <c:pt idx="78">
                  <c:v>1</c:v>
                </c:pt>
                <c:pt idx="79">
                  <c:v>1</c:v>
                </c:pt>
                <c:pt idx="80">
                  <c:v>1</c:v>
                </c:pt>
              </c:numCache>
            </c:numRef>
          </c:val>
          <c:extLst>
            <c:ext xmlns:c16="http://schemas.microsoft.com/office/drawing/2014/chart" uri="{C3380CC4-5D6E-409C-BE32-E72D297353CC}">
              <c16:uniqueId val="{00000000-5476-4870-8F05-810BF19A0730}"/>
            </c:ext>
          </c:extLst>
        </c:ser>
        <c:dLbls>
          <c:showLegendKey val="0"/>
          <c:showVal val="0"/>
          <c:showCatName val="0"/>
          <c:showSerName val="0"/>
          <c:showPercent val="0"/>
          <c:showBubbleSize val="0"/>
        </c:dLbls>
        <c:gapWidth val="219"/>
        <c:overlap val="-27"/>
        <c:axId val="820572815"/>
        <c:axId val="820570415"/>
      </c:barChart>
      <c:catAx>
        <c:axId val="82057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0570415"/>
        <c:crosses val="autoZero"/>
        <c:auto val="1"/>
        <c:lblAlgn val="ctr"/>
        <c:lblOffset val="100"/>
        <c:noMultiLvlLbl val="0"/>
      </c:catAx>
      <c:valAx>
        <c:axId val="820570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0572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userShapes r:id="rId4"/>
  <c:extLst>
    <c:ext xmlns:c14="http://schemas.microsoft.com/office/drawing/2007/8/2/chart" uri="{781A3756-C4B2-4CAC-9D66-4F8BD8637D16}">
      <c14:pivotOptions>
        <c14:dropZoneFilter val="1"/>
        <c14:dropZoneCatego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0.73782</cdr:x>
      <cdr:y>0.0625</cdr:y>
    </cdr:from>
    <cdr:to>
      <cdr:x>0.81318</cdr:x>
      <cdr:y>0.2625</cdr:y>
    </cdr:to>
    <cdr:sp macro="" textlink="">
      <cdr:nvSpPr>
        <cdr:cNvPr id="2" name="Star: 5 Points 1"/>
        <cdr:cNvSpPr/>
      </cdr:nvSpPr>
      <cdr:spPr>
        <a:xfrm xmlns:a="http://schemas.openxmlformats.org/drawingml/2006/main">
          <a:off x="4671108" y="171450"/>
          <a:ext cx="477068" cy="548640"/>
        </a:xfrm>
        <a:prstGeom xmlns:a="http://schemas.openxmlformats.org/drawingml/2006/main" prst="star5">
          <a:avLst/>
        </a:prstGeom>
        <a:solidFill xmlns:a="http://schemas.openxmlformats.org/drawingml/2006/main">
          <a:srgbClr val="FFFF00"/>
        </a:solidFill>
        <a:ln xmlns:a="http://schemas.openxmlformats.org/drawingml/2006/main">
          <a:solidFill>
            <a:srgbClr val="FFFF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85ad58-1d57-4f8a-aa71-77170459bd0d">
      <UserInfo>
        <DisplayName>CONNELLY, Davinia (DERBYSHIRE HEALTHCARE NHS FOUNDATION TRUST)</DisplayName>
        <AccountId>22</AccountId>
        <AccountType/>
      </UserInfo>
    </SharedWithUsers>
    <lcf76f155ced4ddcb4097134ff3c332f xmlns="9be9bb1d-5533-42d3-b8d7-90a31ab235cc">
      <Terms xmlns="http://schemas.microsoft.com/office/infopath/2007/PartnerControls"/>
    </lcf76f155ced4ddcb4097134ff3c332f>
    <TaxCatchAll xmlns="d1882bbd-f160-49cd-ac49-24ab38b6c4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91DAC5EB2B40448209CEB8A6813515" ma:contentTypeVersion="16" ma:contentTypeDescription="Create a new document." ma:contentTypeScope="" ma:versionID="dc6f8d45b1a71ce71fbbfa00026885ac">
  <xsd:schema xmlns:xsd="http://www.w3.org/2001/XMLSchema" xmlns:xs="http://www.w3.org/2001/XMLSchema" xmlns:p="http://schemas.microsoft.com/office/2006/metadata/properties" xmlns:ns1="http://schemas.microsoft.com/sharepoint/v3" xmlns:ns2="a785ad58-1d57-4f8a-aa71-77170459bd0d" xmlns:ns3="9be9bb1d-5533-42d3-b8d7-90a31ab235cc" xmlns:ns4="d1882bbd-f160-49cd-ac49-24ab38b6c4aa" targetNamespace="http://schemas.microsoft.com/office/2006/metadata/properties" ma:root="true" ma:fieldsID="6a09f53b7c08c24bab17cea5f50dc427" ns1:_="" ns2:_="" ns3:_="" ns4:_="">
    <xsd:import namespace="http://schemas.microsoft.com/sharepoint/v3"/>
    <xsd:import namespace="a785ad58-1d57-4f8a-aa71-77170459bd0d"/>
    <xsd:import namespace="9be9bb1d-5533-42d3-b8d7-90a31ab235cc"/>
    <xsd:import namespace="d1882bbd-f160-49cd-ac49-24ab38b6c4aa"/>
    <xsd:element name="properties">
      <xsd:complexType>
        <xsd:sequence>
          <xsd:element name="documentManagement">
            <xsd:complexType>
              <xsd:all>
                <xsd:element ref="ns2:SharedWithUser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9bb1d-5533-42d3-b8d7-90a31ab23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82bbd-f160-49cd-ac49-24ab38b6c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bc6e68-9b87-4e0f-8eb7-beb2e43eb413}" ma:internalName="TaxCatchAll" ma:showField="CatchAllData" ma:web="d1882bbd-f160-49cd-ac49-24ab38b6c4aa">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0D2A4-9610-496C-B5A6-84B95AA67579}">
  <ds:schemaRefs>
    <ds:schemaRef ds:uri="http://schemas.microsoft.com/office/2006/metadata/properties"/>
    <ds:schemaRef ds:uri="http://purl.org/dc/elements/1.1/"/>
    <ds:schemaRef ds:uri="9be9bb1d-5533-42d3-b8d7-90a31ab235cc"/>
    <ds:schemaRef ds:uri="http://schemas.microsoft.com/office/2006/documentManagement/types"/>
    <ds:schemaRef ds:uri="http://schemas.microsoft.com/sharepoint/v3"/>
    <ds:schemaRef ds:uri="http://schemas.openxmlformats.org/package/2006/metadata/core-properties"/>
    <ds:schemaRef ds:uri="http://purl.org/dc/terms/"/>
    <ds:schemaRef ds:uri="d1882bbd-f160-49cd-ac49-24ab38b6c4aa"/>
    <ds:schemaRef ds:uri="http://www.w3.org/XML/1998/namespace"/>
    <ds:schemaRef ds:uri="http://schemas.microsoft.com/office/infopath/2007/PartnerControls"/>
    <ds:schemaRef ds:uri="a785ad58-1d57-4f8a-aa71-77170459bd0d"/>
    <ds:schemaRef ds:uri="http://purl.org/dc/dcmitype/"/>
  </ds:schemaRefs>
</ds:datastoreItem>
</file>

<file path=customXml/itemProps2.xml><?xml version="1.0" encoding="utf-8"?>
<ds:datastoreItem xmlns:ds="http://schemas.openxmlformats.org/officeDocument/2006/customXml" ds:itemID="{5B3D8B09-CE8E-441A-B9CA-A1047BC62E0C}">
  <ds:schemaRefs>
    <ds:schemaRef ds:uri="http://schemas.microsoft.com/sharepoint/v3/contenttype/forms"/>
  </ds:schemaRefs>
</ds:datastoreItem>
</file>

<file path=customXml/itemProps3.xml><?xml version="1.0" encoding="utf-8"?>
<ds:datastoreItem xmlns:ds="http://schemas.openxmlformats.org/officeDocument/2006/customXml" ds:itemID="{D743C871-48F4-4D0F-85EE-15D0FF9C6273}">
  <ds:schemaRefs>
    <ds:schemaRef ds:uri="http://schemas.openxmlformats.org/officeDocument/2006/bibliography"/>
  </ds:schemaRefs>
</ds:datastoreItem>
</file>

<file path=customXml/itemProps4.xml><?xml version="1.0" encoding="utf-8"?>
<ds:datastoreItem xmlns:ds="http://schemas.openxmlformats.org/officeDocument/2006/customXml" ds:itemID="{B66C72E3-0C53-4330-A8BB-30F3116BD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be9bb1d-5533-42d3-b8d7-90a31ab235cc"/>
    <ds:schemaRef ds:uri="d1882bbd-f160-49cd-ac49-24ab38b6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40</TotalTime>
  <Pages>8</Pages>
  <Words>2729</Words>
  <Characters>15560</Characters>
  <Application>Microsoft Office Word</Application>
  <DocSecurity>0</DocSecurity>
  <Lines>129</Lines>
  <Paragraphs>36</Paragraphs>
  <ScaleCrop>false</ScaleCrop>
  <Company>NHS</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rachel_williams2</dc:creator>
  <cp:keywords/>
  <dc:description/>
  <cp:lastModifiedBy>BRADBURY, Joanne (DERBYSHIRE HEALTHCARE NHS FOUNDATION TRUST)</cp:lastModifiedBy>
  <cp:revision>40</cp:revision>
  <dcterms:created xsi:type="dcterms:W3CDTF">2025-01-31T17:33:00Z</dcterms:created>
  <dcterms:modified xsi:type="dcterms:W3CDTF">2025-02-20T09:21:00Z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0x0101000C91DAC5EB2B40448209CEB8A6813515</vt:lpwstr>
  </property>
  <property fmtid="{D5CDD505-2E9C-101B-9397-08002B2CF9AE}" pid="3" name="Order">
    <vt:r8>14000</vt:r8>
  </property>
  <property fmtid="{D5CDD505-2E9C-101B-9397-08002B2CF9AE}" pid="4" name="MediaServiceImageTags">
    <vt:lpwstr/>
  </property>
</Properties>
</file>